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Layout w:type="fixed"/>
        <w:tblCellMar>
          <w:left w:w="0" w:type="dxa"/>
          <w:right w:w="0" w:type="dxa"/>
        </w:tblCellMar>
        <w:tblLook w:val="04A0" w:firstRow="1" w:lastRow="0" w:firstColumn="1" w:lastColumn="0" w:noHBand="0" w:noVBand="1"/>
      </w:tblPr>
      <w:tblGrid>
        <w:gridCol w:w="991"/>
        <w:gridCol w:w="1934"/>
        <w:gridCol w:w="1043"/>
        <w:gridCol w:w="1316"/>
        <w:gridCol w:w="1379"/>
        <w:gridCol w:w="1643"/>
      </w:tblGrid>
      <w:tr w:rsidR="00381C57" w:rsidRPr="00381C57" w:rsidTr="00381C57">
        <w:trPr>
          <w:tblCellSpacing w:w="0" w:type="dxa"/>
        </w:trPr>
        <w:tc>
          <w:tcPr>
            <w:tcW w:w="597" w:type="pct"/>
            <w:hideMark/>
          </w:tcPr>
          <w:p w:rsidR="00381C57" w:rsidRPr="00381C57" w:rsidRDefault="00381C57" w:rsidP="00381C57">
            <w:pPr>
              <w:widowControl/>
              <w:spacing w:line="375" w:lineRule="atLeast"/>
              <w:jc w:val="left"/>
              <w:rPr>
                <w:rFonts w:ascii="宋体" w:eastAsia="宋体" w:hAnsi="宋体" w:cs="宋体"/>
                <w:b/>
                <w:bCs/>
                <w:color w:val="4B4B4B"/>
                <w:kern w:val="0"/>
                <w:szCs w:val="21"/>
              </w:rPr>
            </w:pPr>
            <w:r w:rsidRPr="00381C57">
              <w:rPr>
                <w:rFonts w:ascii="宋体" w:eastAsia="宋体" w:hAnsi="宋体" w:cs="宋体" w:hint="eastAsia"/>
                <w:b/>
                <w:bCs/>
                <w:color w:val="4B4B4B"/>
                <w:kern w:val="0"/>
                <w:szCs w:val="21"/>
              </w:rPr>
              <w:t>信息名称：</w:t>
            </w:r>
          </w:p>
        </w:tc>
        <w:tc>
          <w:tcPr>
            <w:tcW w:w="4403" w:type="pct"/>
            <w:gridSpan w:val="5"/>
            <w:hideMark/>
          </w:tcPr>
          <w:p w:rsidR="00381C57" w:rsidRPr="00381C57" w:rsidRDefault="00381C57" w:rsidP="00381C57">
            <w:pPr>
              <w:widowControl/>
              <w:spacing w:line="375" w:lineRule="atLeast"/>
              <w:jc w:val="left"/>
              <w:rPr>
                <w:rFonts w:ascii="宋体" w:eastAsia="宋体" w:hAnsi="宋体" w:cs="宋体"/>
                <w:b/>
                <w:bCs/>
                <w:color w:val="CC3300"/>
                <w:kern w:val="0"/>
                <w:szCs w:val="21"/>
              </w:rPr>
            </w:pPr>
            <w:bookmarkStart w:id="0" w:name="_GoBack"/>
            <w:r w:rsidRPr="00381C57">
              <w:rPr>
                <w:rFonts w:ascii="宋体" w:eastAsia="宋体" w:hAnsi="宋体" w:cs="宋体" w:hint="eastAsia"/>
                <w:b/>
                <w:bCs/>
                <w:color w:val="CC3300"/>
                <w:kern w:val="0"/>
                <w:szCs w:val="21"/>
              </w:rPr>
              <w:t>高等学校医疗保健机构工作规程</w:t>
            </w:r>
            <w:bookmarkEnd w:id="0"/>
          </w:p>
        </w:tc>
      </w:tr>
      <w:tr w:rsidR="00381C57" w:rsidRPr="00381C57" w:rsidTr="00381C57">
        <w:trPr>
          <w:tblCellSpacing w:w="0" w:type="dxa"/>
        </w:trPr>
        <w:tc>
          <w:tcPr>
            <w:tcW w:w="597" w:type="pct"/>
            <w:hideMark/>
          </w:tcPr>
          <w:p w:rsidR="00381C57" w:rsidRPr="00381C57" w:rsidRDefault="00381C57" w:rsidP="00381C57">
            <w:pPr>
              <w:widowControl/>
              <w:spacing w:line="375" w:lineRule="atLeast"/>
              <w:jc w:val="left"/>
              <w:rPr>
                <w:rFonts w:ascii="宋体" w:eastAsia="宋体" w:hAnsi="宋体" w:cs="宋体"/>
                <w:b/>
                <w:bCs/>
                <w:color w:val="4B4B4B"/>
                <w:kern w:val="0"/>
                <w:szCs w:val="21"/>
              </w:rPr>
            </w:pPr>
            <w:r w:rsidRPr="00381C57">
              <w:rPr>
                <w:rFonts w:ascii="宋体" w:eastAsia="宋体" w:hAnsi="宋体" w:cs="宋体" w:hint="eastAsia"/>
                <w:b/>
                <w:bCs/>
                <w:color w:val="4B4B4B"/>
                <w:kern w:val="0"/>
                <w:szCs w:val="21"/>
              </w:rPr>
              <w:t>信息索引：</w:t>
            </w:r>
          </w:p>
        </w:tc>
        <w:tc>
          <w:tcPr>
            <w:tcW w:w="1164" w:type="pct"/>
            <w:hideMark/>
          </w:tcPr>
          <w:p w:rsidR="00381C57" w:rsidRPr="00381C57" w:rsidRDefault="00381C57" w:rsidP="00381C57">
            <w:pPr>
              <w:widowControl/>
              <w:spacing w:line="375" w:lineRule="atLeast"/>
              <w:jc w:val="left"/>
              <w:rPr>
                <w:rFonts w:ascii="宋体" w:eastAsia="宋体" w:hAnsi="宋体" w:cs="宋体"/>
                <w:color w:val="4B4B4B"/>
                <w:kern w:val="0"/>
                <w:szCs w:val="21"/>
              </w:rPr>
            </w:pPr>
            <w:r w:rsidRPr="00381C57">
              <w:rPr>
                <w:rFonts w:ascii="宋体" w:eastAsia="宋体" w:hAnsi="宋体" w:cs="宋体" w:hint="eastAsia"/>
                <w:color w:val="4B4B4B"/>
                <w:kern w:val="0"/>
                <w:szCs w:val="21"/>
              </w:rPr>
              <w:t>360A02-03-1998-0004-1</w:t>
            </w:r>
          </w:p>
        </w:tc>
        <w:tc>
          <w:tcPr>
            <w:tcW w:w="628" w:type="pct"/>
            <w:hideMark/>
          </w:tcPr>
          <w:p w:rsidR="00381C57" w:rsidRPr="00381C57" w:rsidRDefault="00381C57" w:rsidP="00381C57">
            <w:pPr>
              <w:widowControl/>
              <w:spacing w:line="375" w:lineRule="atLeast"/>
              <w:jc w:val="left"/>
              <w:rPr>
                <w:rFonts w:ascii="宋体" w:eastAsia="宋体" w:hAnsi="宋体" w:cs="宋体"/>
                <w:b/>
                <w:bCs/>
                <w:color w:val="4B4B4B"/>
                <w:kern w:val="0"/>
                <w:szCs w:val="21"/>
              </w:rPr>
            </w:pPr>
            <w:r w:rsidRPr="00381C57">
              <w:rPr>
                <w:rFonts w:ascii="宋体" w:eastAsia="宋体" w:hAnsi="宋体" w:cs="宋体" w:hint="eastAsia"/>
                <w:b/>
                <w:bCs/>
                <w:color w:val="4B4B4B"/>
                <w:kern w:val="0"/>
                <w:szCs w:val="21"/>
              </w:rPr>
              <w:t>生成日期：</w:t>
            </w:r>
          </w:p>
        </w:tc>
        <w:tc>
          <w:tcPr>
            <w:tcW w:w="792" w:type="pct"/>
            <w:hideMark/>
          </w:tcPr>
          <w:p w:rsidR="00381C57" w:rsidRPr="00381C57" w:rsidRDefault="00381C57" w:rsidP="00381C57">
            <w:pPr>
              <w:widowControl/>
              <w:spacing w:line="375" w:lineRule="atLeast"/>
              <w:jc w:val="left"/>
              <w:rPr>
                <w:rFonts w:ascii="宋体" w:eastAsia="宋体" w:hAnsi="宋体" w:cs="宋体"/>
                <w:color w:val="4B4B4B"/>
                <w:kern w:val="0"/>
                <w:szCs w:val="21"/>
              </w:rPr>
            </w:pPr>
            <w:r w:rsidRPr="00381C57">
              <w:rPr>
                <w:rFonts w:ascii="宋体" w:eastAsia="宋体" w:hAnsi="宋体" w:cs="宋体" w:hint="eastAsia"/>
                <w:color w:val="4B4B4B"/>
                <w:kern w:val="0"/>
                <w:szCs w:val="21"/>
              </w:rPr>
              <w:t>1998-04-22</w:t>
            </w:r>
          </w:p>
        </w:tc>
        <w:tc>
          <w:tcPr>
            <w:tcW w:w="830" w:type="pct"/>
            <w:hideMark/>
          </w:tcPr>
          <w:p w:rsidR="00381C57" w:rsidRPr="00381C57" w:rsidRDefault="00381C57" w:rsidP="00381C57">
            <w:pPr>
              <w:widowControl/>
              <w:spacing w:line="375" w:lineRule="atLeast"/>
              <w:jc w:val="left"/>
              <w:rPr>
                <w:rFonts w:ascii="宋体" w:eastAsia="宋体" w:hAnsi="宋体" w:cs="宋体"/>
                <w:b/>
                <w:bCs/>
                <w:color w:val="4B4B4B"/>
                <w:kern w:val="0"/>
                <w:szCs w:val="21"/>
              </w:rPr>
            </w:pPr>
            <w:r w:rsidRPr="00381C57">
              <w:rPr>
                <w:rFonts w:ascii="宋体" w:eastAsia="宋体" w:hAnsi="宋体" w:cs="宋体" w:hint="eastAsia"/>
                <w:b/>
                <w:bCs/>
                <w:color w:val="4B4B4B"/>
                <w:kern w:val="0"/>
                <w:szCs w:val="21"/>
              </w:rPr>
              <w:t>发文机构：</w:t>
            </w:r>
          </w:p>
        </w:tc>
        <w:tc>
          <w:tcPr>
            <w:tcW w:w="989" w:type="pct"/>
            <w:hideMark/>
          </w:tcPr>
          <w:p w:rsidR="00381C57" w:rsidRPr="00381C57" w:rsidRDefault="00381C57" w:rsidP="00381C57">
            <w:pPr>
              <w:widowControl/>
              <w:spacing w:line="375" w:lineRule="atLeast"/>
              <w:jc w:val="left"/>
              <w:rPr>
                <w:rFonts w:ascii="宋体" w:eastAsia="宋体" w:hAnsi="宋体" w:cs="宋体"/>
                <w:color w:val="4B4B4B"/>
                <w:kern w:val="0"/>
                <w:szCs w:val="21"/>
              </w:rPr>
            </w:pPr>
            <w:r w:rsidRPr="00381C57">
              <w:rPr>
                <w:rFonts w:ascii="宋体" w:eastAsia="宋体" w:hAnsi="宋体" w:cs="宋体" w:hint="eastAsia"/>
                <w:color w:val="4B4B4B"/>
                <w:kern w:val="0"/>
                <w:szCs w:val="21"/>
              </w:rPr>
              <w:t>中华人民共和国教育部</w:t>
            </w:r>
          </w:p>
        </w:tc>
      </w:tr>
      <w:tr w:rsidR="00381C57" w:rsidRPr="00381C57" w:rsidTr="00381C57">
        <w:trPr>
          <w:tblCellSpacing w:w="0" w:type="dxa"/>
        </w:trPr>
        <w:tc>
          <w:tcPr>
            <w:tcW w:w="597" w:type="pct"/>
            <w:hideMark/>
          </w:tcPr>
          <w:p w:rsidR="00381C57" w:rsidRPr="00381C57" w:rsidRDefault="00381C57" w:rsidP="00381C57">
            <w:pPr>
              <w:widowControl/>
              <w:spacing w:line="375" w:lineRule="atLeast"/>
              <w:jc w:val="left"/>
              <w:rPr>
                <w:rFonts w:ascii="宋体" w:eastAsia="宋体" w:hAnsi="宋体" w:cs="宋体"/>
                <w:b/>
                <w:bCs/>
                <w:color w:val="4B4B4B"/>
                <w:kern w:val="0"/>
                <w:szCs w:val="21"/>
              </w:rPr>
            </w:pPr>
            <w:r w:rsidRPr="00381C57">
              <w:rPr>
                <w:rFonts w:ascii="宋体" w:eastAsia="宋体" w:hAnsi="宋体" w:cs="宋体" w:hint="eastAsia"/>
                <w:b/>
                <w:bCs/>
                <w:color w:val="4B4B4B"/>
                <w:kern w:val="0"/>
                <w:szCs w:val="21"/>
              </w:rPr>
              <w:t>发文字号：</w:t>
            </w:r>
          </w:p>
        </w:tc>
        <w:tc>
          <w:tcPr>
            <w:tcW w:w="1164" w:type="pct"/>
            <w:hideMark/>
          </w:tcPr>
          <w:p w:rsidR="00381C57" w:rsidRPr="00381C57" w:rsidRDefault="00381C57" w:rsidP="00381C57">
            <w:pPr>
              <w:widowControl/>
              <w:spacing w:line="375" w:lineRule="atLeast"/>
              <w:jc w:val="left"/>
              <w:rPr>
                <w:rFonts w:ascii="宋体" w:eastAsia="宋体" w:hAnsi="宋体" w:cs="宋体"/>
                <w:color w:val="4B4B4B"/>
                <w:kern w:val="0"/>
                <w:szCs w:val="21"/>
              </w:rPr>
            </w:pPr>
            <w:proofErr w:type="gramStart"/>
            <w:r w:rsidRPr="00381C57">
              <w:rPr>
                <w:rFonts w:ascii="宋体" w:eastAsia="宋体" w:hAnsi="宋体" w:cs="宋体" w:hint="eastAsia"/>
                <w:color w:val="4B4B4B"/>
                <w:kern w:val="0"/>
                <w:szCs w:val="21"/>
              </w:rPr>
              <w:t>教体</w:t>
            </w:r>
            <w:proofErr w:type="gramEnd"/>
            <w:r w:rsidRPr="00381C57">
              <w:rPr>
                <w:rFonts w:ascii="宋体" w:eastAsia="宋体" w:hAnsi="宋体" w:cs="宋体" w:hint="eastAsia"/>
                <w:color w:val="4B4B4B"/>
                <w:kern w:val="0"/>
                <w:szCs w:val="21"/>
              </w:rPr>
              <w:t>[1998]4号</w:t>
            </w:r>
          </w:p>
        </w:tc>
        <w:tc>
          <w:tcPr>
            <w:tcW w:w="628" w:type="pct"/>
            <w:hideMark/>
          </w:tcPr>
          <w:p w:rsidR="00381C57" w:rsidRPr="00381C57" w:rsidRDefault="00381C57" w:rsidP="00381C57">
            <w:pPr>
              <w:widowControl/>
              <w:spacing w:line="375" w:lineRule="atLeast"/>
              <w:jc w:val="left"/>
              <w:rPr>
                <w:rFonts w:ascii="宋体" w:eastAsia="宋体" w:hAnsi="宋体" w:cs="宋体"/>
                <w:b/>
                <w:bCs/>
                <w:color w:val="4B4B4B"/>
                <w:kern w:val="0"/>
                <w:szCs w:val="21"/>
              </w:rPr>
            </w:pPr>
            <w:r w:rsidRPr="00381C57">
              <w:rPr>
                <w:rFonts w:ascii="宋体" w:eastAsia="宋体" w:hAnsi="宋体" w:cs="宋体" w:hint="eastAsia"/>
                <w:b/>
                <w:bCs/>
                <w:color w:val="4B4B4B"/>
                <w:kern w:val="0"/>
                <w:szCs w:val="21"/>
              </w:rPr>
              <w:t>信息类别：</w:t>
            </w:r>
          </w:p>
        </w:tc>
        <w:tc>
          <w:tcPr>
            <w:tcW w:w="2611" w:type="pct"/>
            <w:gridSpan w:val="3"/>
            <w:hideMark/>
          </w:tcPr>
          <w:p w:rsidR="00381C57" w:rsidRPr="00381C57" w:rsidRDefault="00381C57" w:rsidP="00381C57">
            <w:pPr>
              <w:widowControl/>
              <w:spacing w:line="375" w:lineRule="atLeast"/>
              <w:jc w:val="left"/>
              <w:rPr>
                <w:rFonts w:ascii="宋体" w:eastAsia="宋体" w:hAnsi="宋体" w:cs="宋体"/>
                <w:color w:val="4B4B4B"/>
                <w:kern w:val="0"/>
                <w:szCs w:val="21"/>
              </w:rPr>
            </w:pPr>
            <w:r w:rsidRPr="00381C57">
              <w:rPr>
                <w:rFonts w:ascii="宋体" w:eastAsia="宋体" w:hAnsi="宋体" w:cs="宋体" w:hint="eastAsia"/>
                <w:color w:val="4B4B4B"/>
                <w:kern w:val="0"/>
                <w:szCs w:val="21"/>
              </w:rPr>
              <w:t>部门规章</w:t>
            </w:r>
          </w:p>
        </w:tc>
      </w:tr>
      <w:tr w:rsidR="00381C57" w:rsidRPr="00381C57" w:rsidTr="00381C57">
        <w:trPr>
          <w:tblCellSpacing w:w="0" w:type="dxa"/>
        </w:trPr>
        <w:tc>
          <w:tcPr>
            <w:tcW w:w="597" w:type="pct"/>
            <w:hideMark/>
          </w:tcPr>
          <w:p w:rsidR="00381C57" w:rsidRPr="00381C57" w:rsidRDefault="00381C57" w:rsidP="00381C57">
            <w:pPr>
              <w:widowControl/>
              <w:spacing w:line="375" w:lineRule="atLeast"/>
              <w:jc w:val="left"/>
              <w:rPr>
                <w:rFonts w:ascii="宋体" w:eastAsia="宋体" w:hAnsi="宋体" w:cs="宋体"/>
                <w:b/>
                <w:bCs/>
                <w:color w:val="4B4B4B"/>
                <w:kern w:val="0"/>
                <w:szCs w:val="21"/>
              </w:rPr>
            </w:pPr>
            <w:r w:rsidRPr="00381C57">
              <w:rPr>
                <w:rFonts w:ascii="宋体" w:eastAsia="宋体" w:hAnsi="宋体" w:cs="宋体" w:hint="eastAsia"/>
                <w:b/>
                <w:bCs/>
                <w:color w:val="4B4B4B"/>
                <w:kern w:val="0"/>
                <w:szCs w:val="21"/>
              </w:rPr>
              <w:t>内容概述：</w:t>
            </w:r>
          </w:p>
        </w:tc>
        <w:tc>
          <w:tcPr>
            <w:tcW w:w="4403" w:type="pct"/>
            <w:gridSpan w:val="5"/>
            <w:hideMark/>
          </w:tcPr>
          <w:p w:rsidR="00381C57" w:rsidRPr="00381C57" w:rsidRDefault="00381C57" w:rsidP="00381C57">
            <w:pPr>
              <w:widowControl/>
              <w:spacing w:line="375" w:lineRule="atLeast"/>
              <w:jc w:val="left"/>
              <w:rPr>
                <w:rFonts w:ascii="宋体" w:eastAsia="宋体" w:hAnsi="宋体" w:cs="宋体"/>
                <w:color w:val="4B4B4B"/>
                <w:kern w:val="0"/>
                <w:szCs w:val="21"/>
              </w:rPr>
            </w:pPr>
            <w:r w:rsidRPr="00381C57">
              <w:rPr>
                <w:rFonts w:ascii="宋体" w:eastAsia="宋体" w:hAnsi="宋体" w:cs="宋体" w:hint="eastAsia"/>
                <w:color w:val="4B4B4B"/>
                <w:kern w:val="0"/>
                <w:szCs w:val="21"/>
              </w:rPr>
              <w:t>教育部1998年4月22日发布的部门规章，规定了高等学校医疗保健机构的基本职责、管理、奖励与处罚。</w:t>
            </w:r>
          </w:p>
        </w:tc>
      </w:tr>
    </w:tbl>
    <w:p w:rsidR="00381C57" w:rsidRPr="00381C57" w:rsidRDefault="00381C57" w:rsidP="00381C57">
      <w:pPr>
        <w:widowControl/>
        <w:shd w:val="clear" w:color="auto" w:fill="FFFFFF"/>
        <w:jc w:val="left"/>
        <w:rPr>
          <w:rFonts w:ascii="宋体" w:eastAsia="宋体" w:hAnsi="宋体" w:cs="宋体"/>
          <w:vanish/>
          <w:kern w:val="0"/>
          <w:sz w:val="24"/>
          <w:szCs w:val="24"/>
        </w:rPr>
      </w:pPr>
      <w:r w:rsidRPr="00381C57">
        <w:rPr>
          <w:rFonts w:ascii="宋体" w:eastAsia="宋体" w:hAnsi="宋体" w:cs="宋体"/>
          <w:vanish/>
          <w:kern w:val="0"/>
          <w:sz w:val="24"/>
          <w:szCs w:val="24"/>
        </w:rPr>
        <w:t>信息公开_部文</w:t>
      </w:r>
    </w:p>
    <w:p w:rsidR="00381C57" w:rsidRPr="00381C57" w:rsidRDefault="00381C57" w:rsidP="00381C57">
      <w:pPr>
        <w:widowControl/>
        <w:shd w:val="clear" w:color="auto" w:fill="FFFFFF"/>
        <w:spacing w:before="100" w:beforeAutospacing="1" w:after="100" w:afterAutospacing="1" w:line="480" w:lineRule="atLeast"/>
        <w:jc w:val="center"/>
        <w:rPr>
          <w:rFonts w:ascii="微软雅黑" w:eastAsia="微软雅黑" w:hAnsi="微软雅黑" w:cs="宋体"/>
          <w:b/>
          <w:bCs/>
          <w:color w:val="4B4B4B"/>
          <w:kern w:val="0"/>
          <w:sz w:val="24"/>
          <w:szCs w:val="24"/>
        </w:rPr>
      </w:pPr>
      <w:proofErr w:type="gramStart"/>
      <w:r w:rsidRPr="00381C57">
        <w:rPr>
          <w:rFonts w:ascii="微软雅黑" w:eastAsia="微软雅黑" w:hAnsi="微软雅黑" w:cs="宋体" w:hint="eastAsia"/>
          <w:b/>
          <w:bCs/>
          <w:color w:val="4B4B4B"/>
          <w:kern w:val="0"/>
          <w:sz w:val="24"/>
          <w:szCs w:val="24"/>
        </w:rPr>
        <w:t>教体</w:t>
      </w:r>
      <w:proofErr w:type="gramEnd"/>
      <w:r w:rsidRPr="00381C57">
        <w:rPr>
          <w:rFonts w:ascii="微软雅黑" w:eastAsia="微软雅黑" w:hAnsi="微软雅黑" w:cs="宋体" w:hint="eastAsia"/>
          <w:b/>
          <w:bCs/>
          <w:color w:val="4B4B4B"/>
          <w:kern w:val="0"/>
          <w:sz w:val="24"/>
          <w:szCs w:val="24"/>
        </w:rPr>
        <w:t>[1998]4号</w:t>
      </w:r>
    </w:p>
    <w:p w:rsidR="00381C57" w:rsidRPr="00381C57" w:rsidRDefault="00381C57" w:rsidP="00381C57">
      <w:pPr>
        <w:widowControl/>
        <w:shd w:val="clear" w:color="auto" w:fill="FFFFFF"/>
        <w:spacing w:before="100" w:beforeAutospacing="1" w:after="100" w:afterAutospacing="1"/>
        <w:jc w:val="center"/>
        <w:outlineLvl w:val="1"/>
        <w:rPr>
          <w:rFonts w:ascii="微软雅黑" w:eastAsia="微软雅黑" w:hAnsi="微软雅黑" w:cs="宋体" w:hint="eastAsia"/>
          <w:b/>
          <w:bCs/>
          <w:color w:val="4B4B4B"/>
          <w:kern w:val="36"/>
          <w:sz w:val="30"/>
          <w:szCs w:val="30"/>
        </w:rPr>
      </w:pPr>
      <w:r w:rsidRPr="00381C57">
        <w:rPr>
          <w:rFonts w:ascii="微软雅黑" w:eastAsia="微软雅黑" w:hAnsi="微软雅黑" w:cs="宋体" w:hint="eastAsia"/>
          <w:b/>
          <w:bCs/>
          <w:color w:val="4B4B4B"/>
          <w:kern w:val="36"/>
          <w:sz w:val="30"/>
          <w:szCs w:val="30"/>
        </w:rPr>
        <w:t>高等学校医疗保健机构工作规程</w:t>
      </w:r>
    </w:p>
    <w:p w:rsidR="00381C57" w:rsidRPr="00381C57" w:rsidRDefault="00381C57" w:rsidP="00381C57">
      <w:pPr>
        <w:widowControl/>
        <w:shd w:val="clear" w:color="auto" w:fill="FFFFFF"/>
        <w:spacing w:before="100" w:beforeAutospacing="1" w:after="100" w:afterAutospacing="1" w:line="480" w:lineRule="atLeast"/>
        <w:jc w:val="right"/>
        <w:rPr>
          <w:rFonts w:ascii="微软雅黑" w:eastAsia="微软雅黑" w:hAnsi="微软雅黑" w:cs="宋体" w:hint="eastAsia"/>
          <w:b/>
          <w:bCs/>
          <w:vanish/>
          <w:color w:val="4B4B4B"/>
          <w:kern w:val="0"/>
          <w:sz w:val="24"/>
          <w:szCs w:val="24"/>
        </w:rPr>
      </w:pPr>
      <w:r w:rsidRPr="00381C57">
        <w:rPr>
          <w:rFonts w:ascii="微软雅黑" w:eastAsia="微软雅黑" w:hAnsi="微软雅黑" w:cs="宋体" w:hint="eastAsia"/>
          <w:b/>
          <w:bCs/>
          <w:vanish/>
          <w:color w:val="4B4B4B"/>
          <w:kern w:val="0"/>
          <w:sz w:val="24"/>
          <w:szCs w:val="24"/>
        </w:rPr>
        <w:t>教体[1998]4号</w:t>
      </w:r>
    </w:p>
    <w:p w:rsidR="00381C57" w:rsidRPr="00381C57" w:rsidRDefault="00381C57" w:rsidP="00381C57">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381C57">
        <w:rPr>
          <w:rFonts w:ascii="微软雅黑" w:eastAsia="微软雅黑" w:hAnsi="微软雅黑" w:cs="宋体" w:hint="eastAsia"/>
          <w:color w:val="4B4B4B"/>
          <w:kern w:val="0"/>
          <w:sz w:val="24"/>
          <w:szCs w:val="24"/>
        </w:rPr>
        <w:t>(1998年4月22日发布)</w:t>
      </w:r>
    </w:p>
    <w:p w:rsidR="00381C57" w:rsidRPr="00381C57" w:rsidRDefault="00381C57" w:rsidP="00381C57">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381C57">
        <w:rPr>
          <w:rFonts w:ascii="微软雅黑" w:eastAsia="微软雅黑" w:hAnsi="微软雅黑" w:cs="宋体" w:hint="eastAsia"/>
          <w:b/>
          <w:bCs/>
          <w:color w:val="4B4B4B"/>
          <w:kern w:val="0"/>
          <w:sz w:val="24"/>
          <w:szCs w:val="24"/>
        </w:rPr>
        <w:t>第一章　总则</w:t>
      </w:r>
      <w:r w:rsidRPr="00381C57">
        <w:rPr>
          <w:rFonts w:ascii="微软雅黑" w:eastAsia="微软雅黑" w:hAnsi="微软雅黑" w:cs="宋体" w:hint="eastAsia"/>
          <w:color w:val="4B4B4B"/>
          <w:kern w:val="0"/>
          <w:sz w:val="24"/>
          <w:szCs w:val="24"/>
        </w:rPr>
        <w:t xml:space="preserve">　</w:t>
      </w:r>
    </w:p>
    <w:p w:rsidR="00381C57" w:rsidRPr="00381C57" w:rsidRDefault="00381C57" w:rsidP="00381C5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81C57">
        <w:rPr>
          <w:rFonts w:ascii="微软雅黑" w:eastAsia="微软雅黑" w:hAnsi="微软雅黑" w:cs="宋体" w:hint="eastAsia"/>
          <w:color w:val="4B4B4B"/>
          <w:kern w:val="0"/>
          <w:sz w:val="24"/>
          <w:szCs w:val="24"/>
        </w:rPr>
        <w:t xml:space="preserve">　　第一条　为贯彻《学校卫生工作条例》、加强对高等学校医疗保健机构的管理，提高医疗保健工作质量，提高师生员工健康水平，特制定本规程。　</w:t>
      </w:r>
    </w:p>
    <w:p w:rsidR="00381C57" w:rsidRPr="00381C57" w:rsidRDefault="00381C57" w:rsidP="00381C5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81C57">
        <w:rPr>
          <w:rFonts w:ascii="微软雅黑" w:eastAsia="微软雅黑" w:hAnsi="微软雅黑" w:cs="宋体" w:hint="eastAsia"/>
          <w:color w:val="4B4B4B"/>
          <w:kern w:val="0"/>
          <w:sz w:val="24"/>
          <w:szCs w:val="24"/>
        </w:rPr>
        <w:t xml:space="preserve">　　第二条　高等学校医疗保健机构指设在高等学校内、主要为师生员工提供医疗保健服务的机构，按学校规模大小及服务对象多少分别设置校医院或卫生科。　</w:t>
      </w:r>
    </w:p>
    <w:p w:rsidR="00381C57" w:rsidRPr="00381C57" w:rsidRDefault="00381C57" w:rsidP="00381C5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81C57">
        <w:rPr>
          <w:rFonts w:ascii="微软雅黑" w:eastAsia="微软雅黑" w:hAnsi="微软雅黑" w:cs="宋体" w:hint="eastAsia"/>
          <w:color w:val="4B4B4B"/>
          <w:kern w:val="0"/>
          <w:sz w:val="24"/>
          <w:szCs w:val="24"/>
        </w:rPr>
        <w:t xml:space="preserve">　　第三条　高等学校医疗保健机构应坚持面向全体师生员工、贯彻预防为主的工作方针，树立为教学服务，为提高师生健康水平服务的工作宗旨。　</w:t>
      </w:r>
    </w:p>
    <w:p w:rsidR="00381C57" w:rsidRPr="00381C57" w:rsidRDefault="00381C57" w:rsidP="00381C5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81C57">
        <w:rPr>
          <w:rFonts w:ascii="微软雅黑" w:eastAsia="微软雅黑" w:hAnsi="微软雅黑" w:cs="宋体" w:hint="eastAsia"/>
          <w:color w:val="4B4B4B"/>
          <w:kern w:val="0"/>
          <w:sz w:val="24"/>
          <w:szCs w:val="24"/>
        </w:rPr>
        <w:t xml:space="preserve">　　第四条　高等学校医疗保健机构的主要任务是：监测学校人群的健康状况；开展学校健康教育；负责学校常见病和传染病的防治；　对影响学校人群健康的有害因素实施医务监督。　</w:t>
      </w:r>
    </w:p>
    <w:p w:rsidR="00381C57" w:rsidRPr="00381C57" w:rsidRDefault="00381C57" w:rsidP="00381C57">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381C57">
        <w:rPr>
          <w:rFonts w:ascii="微软雅黑" w:eastAsia="微软雅黑" w:hAnsi="微软雅黑" w:cs="宋体" w:hint="eastAsia"/>
          <w:b/>
          <w:bCs/>
          <w:color w:val="4B4B4B"/>
          <w:kern w:val="0"/>
          <w:sz w:val="24"/>
          <w:szCs w:val="24"/>
        </w:rPr>
        <w:t>第二章　基本职责</w:t>
      </w:r>
    </w:p>
    <w:p w:rsidR="00381C57" w:rsidRPr="00381C57" w:rsidRDefault="00381C57" w:rsidP="00381C5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81C57">
        <w:rPr>
          <w:rFonts w:ascii="微软雅黑" w:eastAsia="微软雅黑" w:hAnsi="微软雅黑" w:cs="宋体" w:hint="eastAsia"/>
          <w:color w:val="4B4B4B"/>
          <w:kern w:val="0"/>
          <w:sz w:val="24"/>
          <w:szCs w:val="24"/>
        </w:rPr>
        <w:lastRenderedPageBreak/>
        <w:t xml:space="preserve">　　第五条　负责新生入学健康检查，定期对学校各类人员进行健康检查；对各类健康检查资料进行统计分析、并根据存在问题及时采取有效防治措施。　</w:t>
      </w:r>
    </w:p>
    <w:p w:rsidR="00381C57" w:rsidRPr="00381C57" w:rsidRDefault="00381C57" w:rsidP="00381C5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81C57">
        <w:rPr>
          <w:rFonts w:ascii="微软雅黑" w:eastAsia="微软雅黑" w:hAnsi="微软雅黑" w:cs="宋体" w:hint="eastAsia"/>
          <w:color w:val="4B4B4B"/>
          <w:kern w:val="0"/>
          <w:sz w:val="24"/>
          <w:szCs w:val="24"/>
        </w:rPr>
        <w:t xml:space="preserve">　　第六条　对患病体弱学生实施医疗照顾：对因病不能坚持学习者，根据学籍管理规定，提出休、退学处理意见。　</w:t>
      </w:r>
    </w:p>
    <w:p w:rsidR="00381C57" w:rsidRPr="00381C57" w:rsidRDefault="00381C57" w:rsidP="00381C5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81C57">
        <w:rPr>
          <w:rFonts w:ascii="微软雅黑" w:eastAsia="微软雅黑" w:hAnsi="微软雅黑" w:cs="宋体" w:hint="eastAsia"/>
          <w:color w:val="4B4B4B"/>
          <w:kern w:val="0"/>
          <w:sz w:val="24"/>
          <w:szCs w:val="24"/>
        </w:rPr>
        <w:t xml:space="preserve">　　第七条　对学校社区内危重病例实施抢救。校内医疗保健机构不能处理的危重及疑难病例，应当及时转上级医疗机构诊治。　</w:t>
      </w:r>
    </w:p>
    <w:p w:rsidR="00381C57" w:rsidRPr="00381C57" w:rsidRDefault="00381C57" w:rsidP="00381C5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81C57">
        <w:rPr>
          <w:rFonts w:ascii="微软雅黑" w:eastAsia="微软雅黑" w:hAnsi="微软雅黑" w:cs="宋体" w:hint="eastAsia"/>
          <w:color w:val="4B4B4B"/>
          <w:kern w:val="0"/>
          <w:sz w:val="24"/>
          <w:szCs w:val="24"/>
        </w:rPr>
        <w:t xml:space="preserve">　　第八条　协助教务部门开设大学生健康教育课程(选修课或必修课)或定期举办健康教育讲座，增强学生自我保健能力，促进学生建立健康的生活方式和良好的卫生习惯。　</w:t>
      </w:r>
    </w:p>
    <w:p w:rsidR="00381C57" w:rsidRPr="00381C57" w:rsidRDefault="00381C57" w:rsidP="00381C5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81C57">
        <w:rPr>
          <w:rFonts w:ascii="微软雅黑" w:eastAsia="微软雅黑" w:hAnsi="微软雅黑" w:cs="宋体" w:hint="eastAsia"/>
          <w:color w:val="4B4B4B"/>
          <w:kern w:val="0"/>
          <w:sz w:val="24"/>
          <w:szCs w:val="24"/>
        </w:rPr>
        <w:t xml:space="preserve">　　第九条　开展学校社区内医疗服务，做好各种常见病和多发病的诊治、控制工作。</w:t>
      </w:r>
    </w:p>
    <w:p w:rsidR="00381C57" w:rsidRPr="00381C57" w:rsidRDefault="00381C57" w:rsidP="00381C5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81C57">
        <w:rPr>
          <w:rFonts w:ascii="微软雅黑" w:eastAsia="微软雅黑" w:hAnsi="微软雅黑" w:cs="宋体" w:hint="eastAsia"/>
          <w:color w:val="4B4B4B"/>
          <w:kern w:val="0"/>
          <w:sz w:val="24"/>
          <w:szCs w:val="24"/>
        </w:rPr>
        <w:t xml:space="preserve">　　第十条　贯彻执行传染病防治法规，做好学校社区内传染病预防和管理工作。　</w:t>
      </w:r>
    </w:p>
    <w:p w:rsidR="00381C57" w:rsidRPr="00381C57" w:rsidRDefault="00381C57" w:rsidP="00381C5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81C57">
        <w:rPr>
          <w:rFonts w:ascii="微软雅黑" w:eastAsia="微软雅黑" w:hAnsi="微软雅黑" w:cs="宋体" w:hint="eastAsia"/>
          <w:color w:val="4B4B4B"/>
          <w:kern w:val="0"/>
          <w:sz w:val="24"/>
          <w:szCs w:val="24"/>
        </w:rPr>
        <w:t xml:space="preserve">　　第十一条　对学校教学卫生、体育卫生、劳动卫生、环境卫生、饮食与营养卫生等实施医务监督，并提供咨询和技术指导。　</w:t>
      </w:r>
    </w:p>
    <w:p w:rsidR="00381C57" w:rsidRPr="00381C57" w:rsidRDefault="00381C57" w:rsidP="00381C5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81C57">
        <w:rPr>
          <w:rFonts w:ascii="微软雅黑" w:eastAsia="微软雅黑" w:hAnsi="微软雅黑" w:cs="宋体" w:hint="eastAsia"/>
          <w:color w:val="4B4B4B"/>
          <w:kern w:val="0"/>
          <w:sz w:val="24"/>
          <w:szCs w:val="24"/>
        </w:rPr>
        <w:t xml:space="preserve">　　第十二条　根据国家有关规定，结合学校实际情况，积极协助学校有关部门对公费医疗进行改革和管理，</w:t>
      </w:r>
    </w:p>
    <w:p w:rsidR="00381C57" w:rsidRPr="00381C57" w:rsidRDefault="00381C57" w:rsidP="00381C57">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381C57">
        <w:rPr>
          <w:rFonts w:ascii="微软雅黑" w:eastAsia="微软雅黑" w:hAnsi="微软雅黑" w:cs="宋体" w:hint="eastAsia"/>
          <w:b/>
          <w:bCs/>
          <w:color w:val="4B4B4B"/>
          <w:kern w:val="0"/>
          <w:sz w:val="24"/>
          <w:szCs w:val="24"/>
        </w:rPr>
        <w:t>第三章　管理</w:t>
      </w:r>
    </w:p>
    <w:p w:rsidR="00381C57" w:rsidRPr="00381C57" w:rsidRDefault="00381C57" w:rsidP="00381C5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81C57">
        <w:rPr>
          <w:rFonts w:ascii="微软雅黑" w:eastAsia="微软雅黑" w:hAnsi="微软雅黑" w:cs="宋体" w:hint="eastAsia"/>
          <w:color w:val="4B4B4B"/>
          <w:kern w:val="0"/>
          <w:sz w:val="24"/>
          <w:szCs w:val="24"/>
        </w:rPr>
        <w:lastRenderedPageBreak/>
        <w:t xml:space="preserve">　　第十三条　高等学校医疗保健机构的设置，由各高等学校按《医疗机构管理条例》规定，报所在地卫生行政部门审批。</w:t>
      </w:r>
    </w:p>
    <w:p w:rsidR="00381C57" w:rsidRPr="00381C57" w:rsidRDefault="00381C57" w:rsidP="00381C5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81C57">
        <w:rPr>
          <w:rFonts w:ascii="微软雅黑" w:eastAsia="微软雅黑" w:hAnsi="微软雅黑" w:cs="宋体" w:hint="eastAsia"/>
          <w:color w:val="4B4B4B"/>
          <w:kern w:val="0"/>
          <w:sz w:val="24"/>
          <w:szCs w:val="24"/>
        </w:rPr>
        <w:t xml:space="preserve">　　第十四条　高等学校医疗保健机构受主管校长直接领导，或由主管校长委托总务部门领导，业务上接受当地卫生行政部门的监督和指导。　</w:t>
      </w:r>
    </w:p>
    <w:p w:rsidR="00381C57" w:rsidRPr="00381C57" w:rsidRDefault="00381C57" w:rsidP="00381C5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81C57">
        <w:rPr>
          <w:rFonts w:ascii="微软雅黑" w:eastAsia="微软雅黑" w:hAnsi="微软雅黑" w:cs="宋体" w:hint="eastAsia"/>
          <w:color w:val="4B4B4B"/>
          <w:kern w:val="0"/>
          <w:sz w:val="24"/>
          <w:szCs w:val="24"/>
        </w:rPr>
        <w:t xml:space="preserve">　　第十五条　高等学校医疗保健机构人员编制应根据服务对象的总人数及任务，结合学校的实际情况，参照国家有关规定具体核定。卫生技术人员应占其总编制的80%以上；其中，中、高级技术职务人员应达到卫生技术人员总数的60%左右。　</w:t>
      </w:r>
    </w:p>
    <w:p w:rsidR="00381C57" w:rsidRPr="00381C57" w:rsidRDefault="00381C57" w:rsidP="00381C5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81C57">
        <w:rPr>
          <w:rFonts w:ascii="微软雅黑" w:eastAsia="微软雅黑" w:hAnsi="微软雅黑" w:cs="宋体" w:hint="eastAsia"/>
          <w:color w:val="4B4B4B"/>
          <w:kern w:val="0"/>
          <w:sz w:val="24"/>
          <w:szCs w:val="24"/>
        </w:rPr>
        <w:t xml:space="preserve">　　第十六条　高等学校医疗保健机构的科室设置，除执行《医疗机构基本标准(试行)》中相应等级医院及综合门诊部的有关规定外，根据学校卫生工作的特点．应设立健康教育及心理咨询科室（组），或设专人负责该项工作。有条件的校医院可设置适当数量高知病房。　</w:t>
      </w:r>
    </w:p>
    <w:p w:rsidR="00381C57" w:rsidRPr="00381C57" w:rsidRDefault="00381C57" w:rsidP="00381C5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81C57">
        <w:rPr>
          <w:rFonts w:ascii="微软雅黑" w:eastAsia="微软雅黑" w:hAnsi="微软雅黑" w:cs="宋体" w:hint="eastAsia"/>
          <w:color w:val="4B4B4B"/>
          <w:kern w:val="0"/>
          <w:sz w:val="24"/>
          <w:szCs w:val="24"/>
        </w:rPr>
        <w:t xml:space="preserve">　　第十七条　校医院（卫生科）的管理，实行院（科）长负责制，院（科）长由所在学校任命。　</w:t>
      </w:r>
    </w:p>
    <w:p w:rsidR="00381C57" w:rsidRPr="00381C57" w:rsidRDefault="00381C57" w:rsidP="00381C5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81C57">
        <w:rPr>
          <w:rFonts w:ascii="微软雅黑" w:eastAsia="微软雅黑" w:hAnsi="微软雅黑" w:cs="宋体" w:hint="eastAsia"/>
          <w:color w:val="4B4B4B"/>
          <w:kern w:val="0"/>
          <w:sz w:val="24"/>
          <w:szCs w:val="24"/>
        </w:rPr>
        <w:t xml:space="preserve">　　第十八条　校医院（卫生科）应按照《医疗机构管理条例》的规定，建立以岗位责任制为中心的规章制度。应明确各科室人员职责权限，执行各项保健医疗护理常规和技术操作规程。　</w:t>
      </w:r>
    </w:p>
    <w:p w:rsidR="00381C57" w:rsidRPr="00381C57" w:rsidRDefault="00381C57" w:rsidP="00381C5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81C57">
        <w:rPr>
          <w:rFonts w:ascii="微软雅黑" w:eastAsia="微软雅黑" w:hAnsi="微软雅黑" w:cs="宋体" w:hint="eastAsia"/>
          <w:color w:val="4B4B4B"/>
          <w:kern w:val="0"/>
          <w:sz w:val="24"/>
          <w:szCs w:val="24"/>
        </w:rPr>
        <w:t xml:space="preserve">　　第十九条　高等学校卫生技术人员的专业技术职务</w:t>
      </w:r>
      <w:proofErr w:type="gramStart"/>
      <w:r w:rsidRPr="00381C57">
        <w:rPr>
          <w:rFonts w:ascii="微软雅黑" w:eastAsia="微软雅黑" w:hAnsi="微软雅黑" w:cs="宋体" w:hint="eastAsia"/>
          <w:color w:val="4B4B4B"/>
          <w:kern w:val="0"/>
          <w:sz w:val="24"/>
          <w:szCs w:val="24"/>
        </w:rPr>
        <w:t>聘任按</w:t>
      </w:r>
      <w:proofErr w:type="gramEnd"/>
      <w:r w:rsidRPr="00381C57">
        <w:rPr>
          <w:rFonts w:ascii="微软雅黑" w:eastAsia="微软雅黑" w:hAnsi="微软雅黑" w:cs="宋体" w:hint="eastAsia"/>
          <w:color w:val="4B4B4B"/>
          <w:kern w:val="0"/>
          <w:sz w:val="24"/>
          <w:szCs w:val="24"/>
        </w:rPr>
        <w:t xml:space="preserve">国家有关规定执行，卫生技术人员的业务进修纳入学校工作计划。　</w:t>
      </w:r>
    </w:p>
    <w:p w:rsidR="00381C57" w:rsidRPr="00381C57" w:rsidRDefault="00381C57" w:rsidP="00381C5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81C57">
        <w:rPr>
          <w:rFonts w:ascii="微软雅黑" w:eastAsia="微软雅黑" w:hAnsi="微软雅黑" w:cs="宋体" w:hint="eastAsia"/>
          <w:color w:val="4B4B4B"/>
          <w:kern w:val="0"/>
          <w:sz w:val="24"/>
          <w:szCs w:val="24"/>
        </w:rPr>
        <w:lastRenderedPageBreak/>
        <w:t xml:space="preserve">　　第二十条　高等学校卫生技术人员的卫生保健津贴，按照国家有关规定执行。　</w:t>
      </w:r>
    </w:p>
    <w:p w:rsidR="00381C57" w:rsidRPr="00381C57" w:rsidRDefault="00381C57" w:rsidP="00381C5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81C57">
        <w:rPr>
          <w:rFonts w:ascii="微软雅黑" w:eastAsia="微软雅黑" w:hAnsi="微软雅黑" w:cs="宋体" w:hint="eastAsia"/>
          <w:color w:val="4B4B4B"/>
          <w:kern w:val="0"/>
          <w:sz w:val="24"/>
          <w:szCs w:val="24"/>
        </w:rPr>
        <w:t xml:space="preserve">　　第二十一条　高等学校医疗保健机构的基本建设应纳入学校基建总体规划；其建筑面积按《医疗机构基本标准（试行）》或《普通高校建筑面积标准》的有关规定执行。　</w:t>
      </w:r>
    </w:p>
    <w:p w:rsidR="00381C57" w:rsidRPr="00381C57" w:rsidRDefault="00381C57" w:rsidP="00381C5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81C57">
        <w:rPr>
          <w:rFonts w:ascii="微软雅黑" w:eastAsia="微软雅黑" w:hAnsi="微软雅黑" w:cs="宋体" w:hint="eastAsia"/>
          <w:color w:val="4B4B4B"/>
          <w:kern w:val="0"/>
          <w:sz w:val="24"/>
          <w:szCs w:val="24"/>
        </w:rPr>
        <w:t xml:space="preserve">　　第二十二条　高等学校医疗保健机构的基建与设备费、经常性经费、预防经费、健康教育经费，应纳入学校年度预算。　</w:t>
      </w:r>
    </w:p>
    <w:p w:rsidR="00381C57" w:rsidRPr="00381C57" w:rsidRDefault="00381C57" w:rsidP="00381C5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81C57">
        <w:rPr>
          <w:rFonts w:ascii="微软雅黑" w:eastAsia="微软雅黑" w:hAnsi="微软雅黑" w:cs="宋体" w:hint="eastAsia"/>
          <w:color w:val="4B4B4B"/>
          <w:kern w:val="0"/>
          <w:sz w:val="24"/>
          <w:szCs w:val="24"/>
        </w:rPr>
        <w:t xml:space="preserve">　　第二十三条　高等学校医疗保健机构要加强自身建设和管理，提高医疗技术水平和服务质量，减少转诊，降低公费医疗支出。　</w:t>
      </w:r>
    </w:p>
    <w:p w:rsidR="00381C57" w:rsidRPr="00381C57" w:rsidRDefault="00381C57" w:rsidP="00381C57">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381C57">
        <w:rPr>
          <w:rFonts w:ascii="微软雅黑" w:eastAsia="微软雅黑" w:hAnsi="微软雅黑" w:cs="宋体" w:hint="eastAsia"/>
          <w:b/>
          <w:bCs/>
          <w:color w:val="4B4B4B"/>
          <w:kern w:val="0"/>
          <w:sz w:val="24"/>
          <w:szCs w:val="24"/>
        </w:rPr>
        <w:t>第四章　奖励与处罚</w:t>
      </w:r>
      <w:r w:rsidRPr="00381C57">
        <w:rPr>
          <w:rFonts w:ascii="微软雅黑" w:eastAsia="微软雅黑" w:hAnsi="微软雅黑" w:cs="宋体" w:hint="eastAsia"/>
          <w:color w:val="4B4B4B"/>
          <w:kern w:val="0"/>
          <w:sz w:val="24"/>
          <w:szCs w:val="24"/>
        </w:rPr>
        <w:t xml:space="preserve">　</w:t>
      </w:r>
    </w:p>
    <w:p w:rsidR="00381C57" w:rsidRPr="00381C57" w:rsidRDefault="00381C57" w:rsidP="00381C5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81C57">
        <w:rPr>
          <w:rFonts w:ascii="微软雅黑" w:eastAsia="微软雅黑" w:hAnsi="微软雅黑" w:cs="宋体" w:hint="eastAsia"/>
          <w:color w:val="4B4B4B"/>
          <w:kern w:val="0"/>
          <w:sz w:val="24"/>
          <w:szCs w:val="24"/>
        </w:rPr>
        <w:t xml:space="preserve">　　第二十四条　在高等学校医疗保健工作中有突出贡献或长期从事高等学校医疗保健工作成绩显著者，学校及教育行政部门应当给予表彰和奖励。　</w:t>
      </w:r>
    </w:p>
    <w:p w:rsidR="00381C57" w:rsidRPr="00381C57" w:rsidRDefault="00381C57" w:rsidP="00381C5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81C57">
        <w:rPr>
          <w:rFonts w:ascii="微软雅黑" w:eastAsia="微软雅黑" w:hAnsi="微软雅黑" w:cs="宋体" w:hint="eastAsia"/>
          <w:color w:val="4B4B4B"/>
          <w:kern w:val="0"/>
          <w:sz w:val="24"/>
          <w:szCs w:val="24"/>
        </w:rPr>
        <w:t xml:space="preserve">　　第二十五条　医风恶劣，工作不负责任而导致医疗事故者，应根据国务院发布的《医疗事故处理办法》予以处理。</w:t>
      </w:r>
    </w:p>
    <w:p w:rsidR="00381C57" w:rsidRPr="00381C57" w:rsidRDefault="00381C57" w:rsidP="00381C57">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381C57">
        <w:rPr>
          <w:rFonts w:ascii="微软雅黑" w:eastAsia="微软雅黑" w:hAnsi="微软雅黑" w:cs="宋体" w:hint="eastAsia"/>
          <w:b/>
          <w:bCs/>
          <w:color w:val="4B4B4B"/>
          <w:kern w:val="0"/>
          <w:sz w:val="24"/>
          <w:szCs w:val="24"/>
        </w:rPr>
        <w:t>第五章　附则</w:t>
      </w:r>
    </w:p>
    <w:p w:rsidR="00381C57" w:rsidRPr="00381C57" w:rsidRDefault="00381C57" w:rsidP="00381C5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81C57">
        <w:rPr>
          <w:rFonts w:ascii="微软雅黑" w:eastAsia="微软雅黑" w:hAnsi="微软雅黑" w:cs="宋体" w:hint="eastAsia"/>
          <w:color w:val="4B4B4B"/>
          <w:kern w:val="0"/>
          <w:sz w:val="24"/>
          <w:szCs w:val="24"/>
        </w:rPr>
        <w:t xml:space="preserve">　　第二十六条　本规程自颁布之日起实施。</w:t>
      </w:r>
    </w:p>
    <w:tbl>
      <w:tblPr>
        <w:tblW w:w="0" w:type="auto"/>
        <w:jc w:val="center"/>
        <w:tblInd w:w="15" w:type="dxa"/>
        <w:tblCellMar>
          <w:top w:w="15" w:type="dxa"/>
          <w:left w:w="15" w:type="dxa"/>
          <w:bottom w:w="15" w:type="dxa"/>
          <w:right w:w="15" w:type="dxa"/>
        </w:tblCellMar>
        <w:tblLook w:val="04A0" w:firstRow="1" w:lastRow="0" w:firstColumn="1" w:lastColumn="0" w:noHBand="0" w:noVBand="1"/>
      </w:tblPr>
      <w:tblGrid>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tblGrid>
      <w:tr w:rsidR="00381C57" w:rsidRPr="00381C57" w:rsidTr="00381C5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r>
      <w:tr w:rsidR="00381C57" w:rsidRPr="00381C57" w:rsidTr="00381C5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r>
      <w:tr w:rsidR="00381C57" w:rsidRPr="00381C57" w:rsidTr="00381C5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r>
      <w:tr w:rsidR="00381C57" w:rsidRPr="00381C57" w:rsidTr="00381C5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r>
      <w:tr w:rsidR="00381C57" w:rsidRPr="00381C57" w:rsidTr="00381C5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r>
      <w:tr w:rsidR="00381C57" w:rsidRPr="00381C57" w:rsidTr="00381C5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r>
      <w:tr w:rsidR="00381C57" w:rsidRPr="00381C57" w:rsidTr="00381C5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r>
      <w:tr w:rsidR="00381C57" w:rsidRPr="00381C57" w:rsidTr="00381C5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r>
      <w:tr w:rsidR="00381C57" w:rsidRPr="00381C57" w:rsidTr="00381C5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r>
      <w:tr w:rsidR="00381C57" w:rsidRPr="00381C57" w:rsidTr="00381C5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r>
      <w:tr w:rsidR="00381C57" w:rsidRPr="00381C57" w:rsidTr="00381C5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r>
      <w:tr w:rsidR="00381C57" w:rsidRPr="00381C57" w:rsidTr="00381C5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r>
      <w:tr w:rsidR="00381C57" w:rsidRPr="00381C57" w:rsidTr="00381C5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r>
      <w:tr w:rsidR="00381C57" w:rsidRPr="00381C57" w:rsidTr="00381C5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r>
      <w:tr w:rsidR="00381C57" w:rsidRPr="00381C57" w:rsidTr="00381C5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r>
      <w:tr w:rsidR="00381C57" w:rsidRPr="00381C57" w:rsidTr="00381C5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r>
      <w:tr w:rsidR="00381C57" w:rsidRPr="00381C57" w:rsidTr="00381C5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r>
      <w:tr w:rsidR="00381C57" w:rsidRPr="00381C57" w:rsidTr="00381C5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r>
      <w:tr w:rsidR="00381C57" w:rsidRPr="00381C57" w:rsidTr="00381C5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r>
      <w:tr w:rsidR="00381C57" w:rsidRPr="00381C57" w:rsidTr="00381C5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r>
      <w:tr w:rsidR="00381C57" w:rsidRPr="00381C57" w:rsidTr="00381C5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r>
      <w:tr w:rsidR="00381C57" w:rsidRPr="00381C57" w:rsidTr="00381C5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r>
      <w:tr w:rsidR="00381C57" w:rsidRPr="00381C57" w:rsidTr="00381C5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r>
      <w:tr w:rsidR="00381C57" w:rsidRPr="00381C57" w:rsidTr="00381C5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r>
      <w:tr w:rsidR="00381C57" w:rsidRPr="00381C57" w:rsidTr="00381C5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r>
      <w:tr w:rsidR="00381C57" w:rsidRPr="00381C57" w:rsidTr="00381C5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r>
      <w:tr w:rsidR="00381C57" w:rsidRPr="00381C57" w:rsidTr="00381C5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r>
      <w:tr w:rsidR="00381C57" w:rsidRPr="00381C57" w:rsidTr="00381C5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r>
      <w:tr w:rsidR="00381C57" w:rsidRPr="00381C57" w:rsidTr="00381C5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r>
      <w:tr w:rsidR="00381C57" w:rsidRPr="00381C57" w:rsidTr="00381C5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r>
      <w:tr w:rsidR="00381C57" w:rsidRPr="00381C57" w:rsidTr="00381C5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r>
      <w:tr w:rsidR="00381C57" w:rsidRPr="00381C57" w:rsidTr="00381C5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r>
      <w:tr w:rsidR="00381C57" w:rsidRPr="00381C57" w:rsidTr="00381C5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r>
      <w:tr w:rsidR="00381C57" w:rsidRPr="00381C57" w:rsidTr="00381C5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r>
      <w:tr w:rsidR="00381C57" w:rsidRPr="00381C57" w:rsidTr="00381C5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r>
      <w:tr w:rsidR="00381C57" w:rsidRPr="00381C57" w:rsidTr="00381C5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r>
      <w:tr w:rsidR="00381C57" w:rsidRPr="00381C57" w:rsidTr="00381C5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r>
      <w:tr w:rsidR="00381C57" w:rsidRPr="00381C57" w:rsidTr="00381C5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r>
      <w:tr w:rsidR="00381C57" w:rsidRPr="00381C57" w:rsidTr="00381C5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r>
      <w:tr w:rsidR="00381C57" w:rsidRPr="00381C57" w:rsidTr="00381C5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r>
      <w:tr w:rsidR="00381C57" w:rsidRPr="00381C57" w:rsidTr="00381C5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r>
      <w:tr w:rsidR="00381C57" w:rsidRPr="00381C57" w:rsidTr="00381C5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r>
      <w:tr w:rsidR="00381C57" w:rsidRPr="00381C57" w:rsidTr="00381C5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r>
      <w:tr w:rsidR="00381C57" w:rsidRPr="00381C57" w:rsidTr="00381C5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r>
      <w:tr w:rsidR="00381C57" w:rsidRPr="00381C57" w:rsidTr="00381C5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r>
      <w:tr w:rsidR="00381C57" w:rsidRPr="00381C57" w:rsidTr="00381C5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r>
      <w:tr w:rsidR="00381C57" w:rsidRPr="00381C57" w:rsidTr="00381C5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r>
      <w:tr w:rsidR="00381C57" w:rsidRPr="00381C57" w:rsidTr="00381C5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r>
      <w:tr w:rsidR="00381C57" w:rsidRPr="00381C57" w:rsidTr="00381C5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81C57" w:rsidRPr="00381C57" w:rsidRDefault="00381C57" w:rsidP="00381C57">
            <w:pPr>
              <w:widowControl/>
              <w:jc w:val="left"/>
              <w:rPr>
                <w:rFonts w:ascii="宋体" w:eastAsia="宋体" w:hAnsi="宋体" w:cs="宋体"/>
                <w:kern w:val="0"/>
                <w:sz w:val="4"/>
                <w:szCs w:val="24"/>
              </w:rPr>
            </w:pPr>
          </w:p>
        </w:tc>
      </w:tr>
    </w:tbl>
    <w:p w:rsidR="00381C57" w:rsidRPr="00381C57" w:rsidRDefault="00381C57" w:rsidP="00381C57">
      <w:pPr>
        <w:widowControl/>
        <w:shd w:val="clear" w:color="auto" w:fill="FFFFFF"/>
        <w:jc w:val="center"/>
        <w:rPr>
          <w:rFonts w:ascii="微软雅黑" w:eastAsia="微软雅黑" w:hAnsi="微软雅黑" w:cs="宋体" w:hint="eastAsia"/>
          <w:color w:val="4B4B4B"/>
          <w:kern w:val="0"/>
          <w:sz w:val="24"/>
          <w:szCs w:val="24"/>
        </w:rPr>
      </w:pPr>
      <w:r w:rsidRPr="00381C57">
        <w:rPr>
          <w:rFonts w:ascii="微软雅黑" w:eastAsia="微软雅黑" w:hAnsi="微软雅黑" w:cs="宋体" w:hint="eastAsia"/>
          <w:color w:val="4B4B4B"/>
          <w:kern w:val="0"/>
          <w:sz w:val="24"/>
          <w:szCs w:val="24"/>
        </w:rPr>
        <w:t>扫一扫分享本页</w:t>
      </w:r>
    </w:p>
    <w:p w:rsidR="00ED4DB0" w:rsidRDefault="00ED4DB0"/>
    <w:sectPr w:rsidR="00ED4D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ˎ̥">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C57"/>
    <w:rsid w:val="00381C57"/>
    <w:rsid w:val="00ED4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81C57"/>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381C57"/>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381C57"/>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81C57"/>
    <w:rPr>
      <w:rFonts w:ascii="宋体" w:eastAsia="宋体" w:hAnsi="宋体" w:cs="宋体"/>
      <w:b/>
      <w:bCs/>
      <w:kern w:val="36"/>
      <w:sz w:val="48"/>
      <w:szCs w:val="48"/>
    </w:rPr>
  </w:style>
  <w:style w:type="character" w:customStyle="1" w:styleId="5Char">
    <w:name w:val="标题 5 Char"/>
    <w:basedOn w:val="a0"/>
    <w:link w:val="5"/>
    <w:uiPriority w:val="9"/>
    <w:rsid w:val="00381C57"/>
    <w:rPr>
      <w:rFonts w:ascii="宋体" w:eastAsia="宋体" w:hAnsi="宋体" w:cs="宋体"/>
      <w:b/>
      <w:bCs/>
      <w:kern w:val="0"/>
      <w:sz w:val="20"/>
      <w:szCs w:val="20"/>
    </w:rPr>
  </w:style>
  <w:style w:type="character" w:customStyle="1" w:styleId="6Char">
    <w:name w:val="标题 6 Char"/>
    <w:basedOn w:val="a0"/>
    <w:link w:val="6"/>
    <w:uiPriority w:val="9"/>
    <w:rsid w:val="00381C57"/>
    <w:rPr>
      <w:rFonts w:ascii="宋体" w:eastAsia="宋体" w:hAnsi="宋体" w:cs="宋体"/>
      <w:b/>
      <w:bCs/>
      <w:kern w:val="0"/>
      <w:sz w:val="15"/>
      <w:szCs w:val="15"/>
    </w:rPr>
  </w:style>
  <w:style w:type="numbering" w:customStyle="1" w:styleId="10">
    <w:name w:val="无列表1"/>
    <w:next w:val="a2"/>
    <w:uiPriority w:val="99"/>
    <w:semiHidden/>
    <w:unhideWhenUsed/>
    <w:rsid w:val="00381C57"/>
  </w:style>
  <w:style w:type="character" w:styleId="a3">
    <w:name w:val="Hyperlink"/>
    <w:basedOn w:val="a0"/>
    <w:uiPriority w:val="99"/>
    <w:semiHidden/>
    <w:unhideWhenUsed/>
    <w:rsid w:val="00381C57"/>
    <w:rPr>
      <w:strike w:val="0"/>
      <w:dstrike w:val="0"/>
      <w:color w:val="0000FF"/>
      <w:u w:val="none"/>
      <w:effect w:val="none"/>
    </w:rPr>
  </w:style>
  <w:style w:type="character" w:styleId="a4">
    <w:name w:val="FollowedHyperlink"/>
    <w:basedOn w:val="a0"/>
    <w:uiPriority w:val="99"/>
    <w:semiHidden/>
    <w:unhideWhenUsed/>
    <w:rsid w:val="00381C57"/>
    <w:rPr>
      <w:strike w:val="0"/>
      <w:dstrike w:val="0"/>
      <w:color w:val="800080"/>
      <w:u w:val="none"/>
      <w:effect w:val="none"/>
    </w:rPr>
  </w:style>
  <w:style w:type="paragraph" w:styleId="a5">
    <w:name w:val="Normal (Web)"/>
    <w:basedOn w:val="a"/>
    <w:uiPriority w:val="99"/>
    <w:semiHidden/>
    <w:unhideWhenUsed/>
    <w:rsid w:val="00381C57"/>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381C57"/>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381C57"/>
    <w:pPr>
      <w:widowControl/>
      <w:jc w:val="left"/>
    </w:pPr>
    <w:rPr>
      <w:rFonts w:ascii="宋体" w:eastAsia="宋体" w:hAnsi="宋体" w:cs="宋体"/>
      <w:kern w:val="0"/>
      <w:sz w:val="24"/>
      <w:szCs w:val="24"/>
    </w:rPr>
  </w:style>
  <w:style w:type="paragraph" w:customStyle="1" w:styleId="xxgklogo">
    <w:name w:val="xxgk_logo"/>
    <w:basedOn w:val="a"/>
    <w:rsid w:val="00381C57"/>
    <w:pPr>
      <w:widowControl/>
      <w:spacing w:before="600" w:after="450"/>
      <w:jc w:val="left"/>
    </w:pPr>
    <w:rPr>
      <w:rFonts w:ascii="宋体" w:eastAsia="宋体" w:hAnsi="宋体" w:cs="宋体"/>
      <w:kern w:val="0"/>
      <w:sz w:val="24"/>
      <w:szCs w:val="24"/>
    </w:rPr>
  </w:style>
  <w:style w:type="paragraph" w:customStyle="1" w:styleId="xxgkjs">
    <w:name w:val="xxgk_js"/>
    <w:basedOn w:val="a"/>
    <w:rsid w:val="00381C57"/>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381C57"/>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381C57"/>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381C57"/>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381C57"/>
    <w:pPr>
      <w:widowControl/>
      <w:jc w:val="left"/>
    </w:pPr>
    <w:rPr>
      <w:rFonts w:ascii="宋体" w:eastAsia="宋体" w:hAnsi="宋体" w:cs="宋体"/>
      <w:kern w:val="0"/>
      <w:sz w:val="24"/>
      <w:szCs w:val="24"/>
    </w:rPr>
  </w:style>
  <w:style w:type="paragraph" w:customStyle="1" w:styleId="xxgkfootnrs">
    <w:name w:val="xxgk_foot_nrs"/>
    <w:basedOn w:val="a"/>
    <w:rsid w:val="00381C57"/>
    <w:pPr>
      <w:widowControl/>
      <w:jc w:val="left"/>
    </w:pPr>
    <w:rPr>
      <w:rFonts w:ascii="宋体" w:eastAsia="宋体" w:hAnsi="宋体" w:cs="宋体"/>
      <w:kern w:val="0"/>
      <w:sz w:val="24"/>
      <w:szCs w:val="24"/>
    </w:rPr>
  </w:style>
  <w:style w:type="paragraph" w:customStyle="1" w:styleId="xxgkfootzj">
    <w:name w:val="xxgk_foot_zj"/>
    <w:basedOn w:val="a"/>
    <w:rsid w:val="00381C57"/>
    <w:pPr>
      <w:widowControl/>
      <w:spacing w:before="240"/>
      <w:jc w:val="left"/>
    </w:pPr>
    <w:rPr>
      <w:rFonts w:ascii="宋体" w:eastAsia="宋体" w:hAnsi="宋体" w:cs="宋体"/>
      <w:kern w:val="0"/>
      <w:sz w:val="24"/>
      <w:szCs w:val="24"/>
    </w:rPr>
  </w:style>
  <w:style w:type="paragraph" w:customStyle="1" w:styleId="xxgkfootxia">
    <w:name w:val="xxgk_foot_xia"/>
    <w:basedOn w:val="a"/>
    <w:rsid w:val="00381C57"/>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381C57"/>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381C57"/>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381C57"/>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381C57"/>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381C57"/>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381C57"/>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381C57"/>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381C57"/>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381C57"/>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381C57"/>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381C57"/>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381C57"/>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381C57"/>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381C57"/>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381C57"/>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381C57"/>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381C57"/>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381C57"/>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381C57"/>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381C57"/>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381C57"/>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381C57"/>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381C57"/>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381C57"/>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381C57"/>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381C57"/>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381C57"/>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381C57"/>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381C57"/>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381C57"/>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381C57"/>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381C57"/>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381C57"/>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381C57"/>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81C57"/>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381C57"/>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381C57"/>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81C57"/>
    <w:rPr>
      <w:rFonts w:ascii="宋体" w:eastAsia="宋体" w:hAnsi="宋体" w:cs="宋体"/>
      <w:b/>
      <w:bCs/>
      <w:kern w:val="36"/>
      <w:sz w:val="48"/>
      <w:szCs w:val="48"/>
    </w:rPr>
  </w:style>
  <w:style w:type="character" w:customStyle="1" w:styleId="5Char">
    <w:name w:val="标题 5 Char"/>
    <w:basedOn w:val="a0"/>
    <w:link w:val="5"/>
    <w:uiPriority w:val="9"/>
    <w:rsid w:val="00381C57"/>
    <w:rPr>
      <w:rFonts w:ascii="宋体" w:eastAsia="宋体" w:hAnsi="宋体" w:cs="宋体"/>
      <w:b/>
      <w:bCs/>
      <w:kern w:val="0"/>
      <w:sz w:val="20"/>
      <w:szCs w:val="20"/>
    </w:rPr>
  </w:style>
  <w:style w:type="character" w:customStyle="1" w:styleId="6Char">
    <w:name w:val="标题 6 Char"/>
    <w:basedOn w:val="a0"/>
    <w:link w:val="6"/>
    <w:uiPriority w:val="9"/>
    <w:rsid w:val="00381C57"/>
    <w:rPr>
      <w:rFonts w:ascii="宋体" w:eastAsia="宋体" w:hAnsi="宋体" w:cs="宋体"/>
      <w:b/>
      <w:bCs/>
      <w:kern w:val="0"/>
      <w:sz w:val="15"/>
      <w:szCs w:val="15"/>
    </w:rPr>
  </w:style>
  <w:style w:type="numbering" w:customStyle="1" w:styleId="10">
    <w:name w:val="无列表1"/>
    <w:next w:val="a2"/>
    <w:uiPriority w:val="99"/>
    <w:semiHidden/>
    <w:unhideWhenUsed/>
    <w:rsid w:val="00381C57"/>
  </w:style>
  <w:style w:type="character" w:styleId="a3">
    <w:name w:val="Hyperlink"/>
    <w:basedOn w:val="a0"/>
    <w:uiPriority w:val="99"/>
    <w:semiHidden/>
    <w:unhideWhenUsed/>
    <w:rsid w:val="00381C57"/>
    <w:rPr>
      <w:strike w:val="0"/>
      <w:dstrike w:val="0"/>
      <w:color w:val="0000FF"/>
      <w:u w:val="none"/>
      <w:effect w:val="none"/>
    </w:rPr>
  </w:style>
  <w:style w:type="character" w:styleId="a4">
    <w:name w:val="FollowedHyperlink"/>
    <w:basedOn w:val="a0"/>
    <w:uiPriority w:val="99"/>
    <w:semiHidden/>
    <w:unhideWhenUsed/>
    <w:rsid w:val="00381C57"/>
    <w:rPr>
      <w:strike w:val="0"/>
      <w:dstrike w:val="0"/>
      <w:color w:val="800080"/>
      <w:u w:val="none"/>
      <w:effect w:val="none"/>
    </w:rPr>
  </w:style>
  <w:style w:type="paragraph" w:styleId="a5">
    <w:name w:val="Normal (Web)"/>
    <w:basedOn w:val="a"/>
    <w:uiPriority w:val="99"/>
    <w:semiHidden/>
    <w:unhideWhenUsed/>
    <w:rsid w:val="00381C57"/>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381C57"/>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381C57"/>
    <w:pPr>
      <w:widowControl/>
      <w:jc w:val="left"/>
    </w:pPr>
    <w:rPr>
      <w:rFonts w:ascii="宋体" w:eastAsia="宋体" w:hAnsi="宋体" w:cs="宋体"/>
      <w:kern w:val="0"/>
      <w:sz w:val="24"/>
      <w:szCs w:val="24"/>
    </w:rPr>
  </w:style>
  <w:style w:type="paragraph" w:customStyle="1" w:styleId="xxgklogo">
    <w:name w:val="xxgk_logo"/>
    <w:basedOn w:val="a"/>
    <w:rsid w:val="00381C57"/>
    <w:pPr>
      <w:widowControl/>
      <w:spacing w:before="600" w:after="450"/>
      <w:jc w:val="left"/>
    </w:pPr>
    <w:rPr>
      <w:rFonts w:ascii="宋体" w:eastAsia="宋体" w:hAnsi="宋体" w:cs="宋体"/>
      <w:kern w:val="0"/>
      <w:sz w:val="24"/>
      <w:szCs w:val="24"/>
    </w:rPr>
  </w:style>
  <w:style w:type="paragraph" w:customStyle="1" w:styleId="xxgkjs">
    <w:name w:val="xxgk_js"/>
    <w:basedOn w:val="a"/>
    <w:rsid w:val="00381C57"/>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381C57"/>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381C57"/>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381C57"/>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381C57"/>
    <w:pPr>
      <w:widowControl/>
      <w:jc w:val="left"/>
    </w:pPr>
    <w:rPr>
      <w:rFonts w:ascii="宋体" w:eastAsia="宋体" w:hAnsi="宋体" w:cs="宋体"/>
      <w:kern w:val="0"/>
      <w:sz w:val="24"/>
      <w:szCs w:val="24"/>
    </w:rPr>
  </w:style>
  <w:style w:type="paragraph" w:customStyle="1" w:styleId="xxgkfootnrs">
    <w:name w:val="xxgk_foot_nrs"/>
    <w:basedOn w:val="a"/>
    <w:rsid w:val="00381C57"/>
    <w:pPr>
      <w:widowControl/>
      <w:jc w:val="left"/>
    </w:pPr>
    <w:rPr>
      <w:rFonts w:ascii="宋体" w:eastAsia="宋体" w:hAnsi="宋体" w:cs="宋体"/>
      <w:kern w:val="0"/>
      <w:sz w:val="24"/>
      <w:szCs w:val="24"/>
    </w:rPr>
  </w:style>
  <w:style w:type="paragraph" w:customStyle="1" w:styleId="xxgkfootzj">
    <w:name w:val="xxgk_foot_zj"/>
    <w:basedOn w:val="a"/>
    <w:rsid w:val="00381C57"/>
    <w:pPr>
      <w:widowControl/>
      <w:spacing w:before="240"/>
      <w:jc w:val="left"/>
    </w:pPr>
    <w:rPr>
      <w:rFonts w:ascii="宋体" w:eastAsia="宋体" w:hAnsi="宋体" w:cs="宋体"/>
      <w:kern w:val="0"/>
      <w:sz w:val="24"/>
      <w:szCs w:val="24"/>
    </w:rPr>
  </w:style>
  <w:style w:type="paragraph" w:customStyle="1" w:styleId="xxgkfootxia">
    <w:name w:val="xxgk_foot_xia"/>
    <w:basedOn w:val="a"/>
    <w:rsid w:val="00381C57"/>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381C57"/>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381C57"/>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381C57"/>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381C57"/>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381C57"/>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381C57"/>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381C57"/>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381C57"/>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381C57"/>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381C57"/>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381C57"/>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381C57"/>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381C57"/>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381C57"/>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381C57"/>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381C57"/>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381C57"/>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381C57"/>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381C57"/>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381C57"/>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381C57"/>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381C57"/>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381C57"/>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381C57"/>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381C57"/>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381C57"/>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381C57"/>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381C57"/>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381C57"/>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381C57"/>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381C57"/>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381C57"/>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381C57"/>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381C57"/>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962176">
      <w:bodyDiv w:val="1"/>
      <w:marLeft w:val="0"/>
      <w:marRight w:val="0"/>
      <w:marTop w:val="0"/>
      <w:marBottom w:val="0"/>
      <w:divBdr>
        <w:top w:val="none" w:sz="0" w:space="0" w:color="auto"/>
        <w:left w:val="none" w:sz="0" w:space="0" w:color="auto"/>
        <w:bottom w:val="none" w:sz="0" w:space="0" w:color="auto"/>
        <w:right w:val="none" w:sz="0" w:space="0" w:color="auto"/>
      </w:divBdr>
      <w:divsChild>
        <w:div w:id="1165822491">
          <w:marLeft w:val="0"/>
          <w:marRight w:val="0"/>
          <w:marTop w:val="0"/>
          <w:marBottom w:val="0"/>
          <w:divBdr>
            <w:top w:val="none" w:sz="0" w:space="0" w:color="auto"/>
            <w:left w:val="none" w:sz="0" w:space="0" w:color="auto"/>
            <w:bottom w:val="none" w:sz="0" w:space="0" w:color="auto"/>
            <w:right w:val="none" w:sz="0" w:space="0" w:color="auto"/>
          </w:divBdr>
          <w:divsChild>
            <w:div w:id="1453785487">
              <w:marLeft w:val="0"/>
              <w:marRight w:val="0"/>
              <w:marTop w:val="0"/>
              <w:marBottom w:val="0"/>
              <w:divBdr>
                <w:top w:val="single" w:sz="6" w:space="31" w:color="BCBCBC"/>
                <w:left w:val="single" w:sz="6" w:space="31" w:color="BCBCBC"/>
                <w:bottom w:val="single" w:sz="6" w:space="15" w:color="BCBCBC"/>
                <w:right w:val="single" w:sz="6" w:space="31" w:color="BCBCBC"/>
              </w:divBdr>
              <w:divsChild>
                <w:div w:id="749885525">
                  <w:marLeft w:val="0"/>
                  <w:marRight w:val="0"/>
                  <w:marTop w:val="0"/>
                  <w:marBottom w:val="0"/>
                  <w:divBdr>
                    <w:top w:val="none" w:sz="0" w:space="0" w:color="auto"/>
                    <w:left w:val="none" w:sz="0" w:space="0" w:color="auto"/>
                    <w:bottom w:val="none" w:sz="0" w:space="0" w:color="auto"/>
                    <w:right w:val="none" w:sz="0" w:space="0" w:color="auto"/>
                  </w:divBdr>
                  <w:divsChild>
                    <w:div w:id="710154801">
                      <w:marLeft w:val="0"/>
                      <w:marRight w:val="0"/>
                      <w:marTop w:val="0"/>
                      <w:marBottom w:val="0"/>
                      <w:divBdr>
                        <w:top w:val="none" w:sz="0" w:space="0" w:color="auto"/>
                        <w:left w:val="none" w:sz="0" w:space="0" w:color="auto"/>
                        <w:bottom w:val="none" w:sz="0" w:space="0" w:color="auto"/>
                        <w:right w:val="none" w:sz="0" w:space="0" w:color="auto"/>
                      </w:divBdr>
                    </w:div>
                    <w:div w:id="166601296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dc:creator>
  <cp:lastModifiedBy>何</cp:lastModifiedBy>
  <cp:revision>2</cp:revision>
  <dcterms:created xsi:type="dcterms:W3CDTF">2016-12-16T07:36:00Z</dcterms:created>
  <dcterms:modified xsi:type="dcterms:W3CDTF">2016-12-16T07:36:00Z</dcterms:modified>
</cp:coreProperties>
</file>