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94"/>
        <w:gridCol w:w="2205"/>
        <w:gridCol w:w="953"/>
        <w:gridCol w:w="1218"/>
        <w:gridCol w:w="1193"/>
        <w:gridCol w:w="1643"/>
      </w:tblGrid>
      <w:tr w:rsidR="007C2E4E" w:rsidRPr="007C2E4E" w:rsidTr="007C2E4E">
        <w:trPr>
          <w:tblCellSpacing w:w="0" w:type="dxa"/>
        </w:trPr>
        <w:tc>
          <w:tcPr>
            <w:tcW w:w="659" w:type="pct"/>
            <w:hideMark/>
          </w:tcPr>
          <w:p w:rsidR="007C2E4E" w:rsidRPr="007C2E4E" w:rsidRDefault="007C2E4E" w:rsidP="007C2E4E">
            <w:pPr>
              <w:widowControl/>
              <w:spacing w:line="375" w:lineRule="atLeast"/>
              <w:jc w:val="left"/>
              <w:rPr>
                <w:rFonts w:ascii="宋体" w:eastAsia="宋体" w:hAnsi="宋体" w:cs="宋体"/>
                <w:b/>
                <w:bCs/>
                <w:color w:val="4B4B4B"/>
                <w:kern w:val="0"/>
                <w:szCs w:val="21"/>
              </w:rPr>
            </w:pPr>
            <w:r w:rsidRPr="007C2E4E">
              <w:rPr>
                <w:rFonts w:ascii="宋体" w:eastAsia="宋体" w:hAnsi="宋体" w:cs="宋体" w:hint="eastAsia"/>
                <w:b/>
                <w:bCs/>
                <w:color w:val="4B4B4B"/>
                <w:kern w:val="0"/>
                <w:szCs w:val="21"/>
              </w:rPr>
              <w:t>信息名称：</w:t>
            </w:r>
          </w:p>
        </w:tc>
        <w:tc>
          <w:tcPr>
            <w:tcW w:w="4341" w:type="pct"/>
            <w:gridSpan w:val="5"/>
            <w:hideMark/>
          </w:tcPr>
          <w:p w:rsidR="007C2E4E" w:rsidRPr="007C2E4E" w:rsidRDefault="007C2E4E" w:rsidP="007C2E4E">
            <w:pPr>
              <w:widowControl/>
              <w:spacing w:line="375" w:lineRule="atLeast"/>
              <w:jc w:val="left"/>
              <w:rPr>
                <w:rFonts w:ascii="宋体" w:eastAsia="宋体" w:hAnsi="宋体" w:cs="宋体"/>
                <w:b/>
                <w:bCs/>
                <w:color w:val="CC3300"/>
                <w:kern w:val="0"/>
                <w:szCs w:val="21"/>
              </w:rPr>
            </w:pPr>
            <w:bookmarkStart w:id="0" w:name="_GoBack"/>
            <w:r w:rsidRPr="007C2E4E">
              <w:rPr>
                <w:rFonts w:ascii="宋体" w:eastAsia="宋体" w:hAnsi="宋体" w:cs="宋体" w:hint="eastAsia"/>
                <w:b/>
                <w:bCs/>
                <w:color w:val="CC3300"/>
                <w:kern w:val="0"/>
                <w:szCs w:val="21"/>
              </w:rPr>
              <w:t>教育系统内部审计工作规定</w:t>
            </w:r>
            <w:bookmarkEnd w:id="0"/>
          </w:p>
        </w:tc>
      </w:tr>
      <w:tr w:rsidR="007C2E4E" w:rsidRPr="007C2E4E" w:rsidTr="007C2E4E">
        <w:trPr>
          <w:tblCellSpacing w:w="0" w:type="dxa"/>
        </w:trPr>
        <w:tc>
          <w:tcPr>
            <w:tcW w:w="659" w:type="pct"/>
            <w:hideMark/>
          </w:tcPr>
          <w:p w:rsidR="007C2E4E" w:rsidRPr="007C2E4E" w:rsidRDefault="007C2E4E" w:rsidP="007C2E4E">
            <w:pPr>
              <w:widowControl/>
              <w:spacing w:line="375" w:lineRule="atLeast"/>
              <w:jc w:val="left"/>
              <w:rPr>
                <w:rFonts w:ascii="宋体" w:eastAsia="宋体" w:hAnsi="宋体" w:cs="宋体"/>
                <w:b/>
                <w:bCs/>
                <w:color w:val="4B4B4B"/>
                <w:kern w:val="0"/>
                <w:szCs w:val="21"/>
              </w:rPr>
            </w:pPr>
            <w:r w:rsidRPr="007C2E4E">
              <w:rPr>
                <w:rFonts w:ascii="宋体" w:eastAsia="宋体" w:hAnsi="宋体" w:cs="宋体" w:hint="eastAsia"/>
                <w:b/>
                <w:bCs/>
                <w:color w:val="4B4B4B"/>
                <w:kern w:val="0"/>
                <w:szCs w:val="21"/>
              </w:rPr>
              <w:t>信息索引：</w:t>
            </w:r>
          </w:p>
        </w:tc>
        <w:tc>
          <w:tcPr>
            <w:tcW w:w="1327" w:type="pct"/>
            <w:hideMark/>
          </w:tcPr>
          <w:p w:rsidR="007C2E4E" w:rsidRPr="007C2E4E" w:rsidRDefault="007C2E4E" w:rsidP="007C2E4E">
            <w:pPr>
              <w:widowControl/>
              <w:spacing w:line="375" w:lineRule="atLeast"/>
              <w:jc w:val="left"/>
              <w:rPr>
                <w:rFonts w:ascii="宋体" w:eastAsia="宋体" w:hAnsi="宋体" w:cs="宋体"/>
                <w:color w:val="4B4B4B"/>
                <w:kern w:val="0"/>
                <w:szCs w:val="21"/>
              </w:rPr>
            </w:pPr>
            <w:r w:rsidRPr="007C2E4E">
              <w:rPr>
                <w:rFonts w:ascii="宋体" w:eastAsia="宋体" w:hAnsi="宋体" w:cs="宋体" w:hint="eastAsia"/>
                <w:color w:val="4B4B4B"/>
                <w:kern w:val="0"/>
                <w:szCs w:val="21"/>
              </w:rPr>
              <w:t>360A02-03-2004-0071-1</w:t>
            </w:r>
          </w:p>
        </w:tc>
        <w:tc>
          <w:tcPr>
            <w:tcW w:w="574" w:type="pct"/>
            <w:hideMark/>
          </w:tcPr>
          <w:p w:rsidR="007C2E4E" w:rsidRPr="007C2E4E" w:rsidRDefault="007C2E4E" w:rsidP="007C2E4E">
            <w:pPr>
              <w:widowControl/>
              <w:spacing w:line="375" w:lineRule="atLeast"/>
              <w:jc w:val="left"/>
              <w:rPr>
                <w:rFonts w:ascii="宋体" w:eastAsia="宋体" w:hAnsi="宋体" w:cs="宋体"/>
                <w:b/>
                <w:bCs/>
                <w:color w:val="4B4B4B"/>
                <w:kern w:val="0"/>
                <w:szCs w:val="21"/>
              </w:rPr>
            </w:pPr>
            <w:r w:rsidRPr="007C2E4E">
              <w:rPr>
                <w:rFonts w:ascii="宋体" w:eastAsia="宋体" w:hAnsi="宋体" w:cs="宋体" w:hint="eastAsia"/>
                <w:b/>
                <w:bCs/>
                <w:color w:val="4B4B4B"/>
                <w:kern w:val="0"/>
                <w:szCs w:val="21"/>
              </w:rPr>
              <w:t>生成日期：</w:t>
            </w:r>
          </w:p>
        </w:tc>
        <w:tc>
          <w:tcPr>
            <w:tcW w:w="733" w:type="pct"/>
            <w:hideMark/>
          </w:tcPr>
          <w:p w:rsidR="007C2E4E" w:rsidRPr="007C2E4E" w:rsidRDefault="007C2E4E" w:rsidP="007C2E4E">
            <w:pPr>
              <w:widowControl/>
              <w:spacing w:line="375" w:lineRule="atLeast"/>
              <w:jc w:val="left"/>
              <w:rPr>
                <w:rFonts w:ascii="宋体" w:eastAsia="宋体" w:hAnsi="宋体" w:cs="宋体"/>
                <w:color w:val="4B4B4B"/>
                <w:kern w:val="0"/>
                <w:szCs w:val="21"/>
              </w:rPr>
            </w:pPr>
            <w:r w:rsidRPr="007C2E4E">
              <w:rPr>
                <w:rFonts w:ascii="宋体" w:eastAsia="宋体" w:hAnsi="宋体" w:cs="宋体" w:hint="eastAsia"/>
                <w:color w:val="4B4B4B"/>
                <w:kern w:val="0"/>
                <w:szCs w:val="21"/>
              </w:rPr>
              <w:t>2004-04-13</w:t>
            </w:r>
          </w:p>
        </w:tc>
        <w:tc>
          <w:tcPr>
            <w:tcW w:w="718" w:type="pct"/>
            <w:hideMark/>
          </w:tcPr>
          <w:p w:rsidR="007C2E4E" w:rsidRPr="007C2E4E" w:rsidRDefault="007C2E4E" w:rsidP="007C2E4E">
            <w:pPr>
              <w:widowControl/>
              <w:spacing w:line="375" w:lineRule="atLeast"/>
              <w:jc w:val="left"/>
              <w:rPr>
                <w:rFonts w:ascii="宋体" w:eastAsia="宋体" w:hAnsi="宋体" w:cs="宋体"/>
                <w:b/>
                <w:bCs/>
                <w:color w:val="4B4B4B"/>
                <w:kern w:val="0"/>
                <w:szCs w:val="21"/>
              </w:rPr>
            </w:pPr>
            <w:r w:rsidRPr="007C2E4E">
              <w:rPr>
                <w:rFonts w:ascii="宋体" w:eastAsia="宋体" w:hAnsi="宋体" w:cs="宋体" w:hint="eastAsia"/>
                <w:b/>
                <w:bCs/>
                <w:color w:val="4B4B4B"/>
                <w:kern w:val="0"/>
                <w:szCs w:val="21"/>
              </w:rPr>
              <w:t>发文机构：</w:t>
            </w:r>
          </w:p>
        </w:tc>
        <w:tc>
          <w:tcPr>
            <w:tcW w:w="989" w:type="pct"/>
            <w:hideMark/>
          </w:tcPr>
          <w:p w:rsidR="007C2E4E" w:rsidRPr="007C2E4E" w:rsidRDefault="007C2E4E" w:rsidP="007C2E4E">
            <w:pPr>
              <w:widowControl/>
              <w:spacing w:line="375" w:lineRule="atLeast"/>
              <w:jc w:val="left"/>
              <w:rPr>
                <w:rFonts w:ascii="宋体" w:eastAsia="宋体" w:hAnsi="宋体" w:cs="宋体"/>
                <w:color w:val="4B4B4B"/>
                <w:kern w:val="0"/>
                <w:szCs w:val="21"/>
              </w:rPr>
            </w:pPr>
            <w:r w:rsidRPr="007C2E4E">
              <w:rPr>
                <w:rFonts w:ascii="宋体" w:eastAsia="宋体" w:hAnsi="宋体" w:cs="宋体" w:hint="eastAsia"/>
                <w:color w:val="4B4B4B"/>
                <w:kern w:val="0"/>
                <w:szCs w:val="21"/>
              </w:rPr>
              <w:t>中华人民共和国教育部</w:t>
            </w:r>
          </w:p>
        </w:tc>
      </w:tr>
      <w:tr w:rsidR="007C2E4E" w:rsidRPr="007C2E4E" w:rsidTr="007C2E4E">
        <w:trPr>
          <w:tblCellSpacing w:w="0" w:type="dxa"/>
        </w:trPr>
        <w:tc>
          <w:tcPr>
            <w:tcW w:w="659" w:type="pct"/>
            <w:hideMark/>
          </w:tcPr>
          <w:p w:rsidR="007C2E4E" w:rsidRPr="007C2E4E" w:rsidRDefault="007C2E4E" w:rsidP="007C2E4E">
            <w:pPr>
              <w:widowControl/>
              <w:spacing w:line="375" w:lineRule="atLeast"/>
              <w:jc w:val="left"/>
              <w:rPr>
                <w:rFonts w:ascii="宋体" w:eastAsia="宋体" w:hAnsi="宋体" w:cs="宋体"/>
                <w:b/>
                <w:bCs/>
                <w:color w:val="4B4B4B"/>
                <w:kern w:val="0"/>
                <w:szCs w:val="21"/>
              </w:rPr>
            </w:pPr>
            <w:r w:rsidRPr="007C2E4E">
              <w:rPr>
                <w:rFonts w:ascii="宋体" w:eastAsia="宋体" w:hAnsi="宋体" w:cs="宋体" w:hint="eastAsia"/>
                <w:b/>
                <w:bCs/>
                <w:color w:val="4B4B4B"/>
                <w:kern w:val="0"/>
                <w:szCs w:val="21"/>
              </w:rPr>
              <w:t>发文字号：</w:t>
            </w:r>
          </w:p>
        </w:tc>
        <w:tc>
          <w:tcPr>
            <w:tcW w:w="1327" w:type="pct"/>
            <w:hideMark/>
          </w:tcPr>
          <w:p w:rsidR="007C2E4E" w:rsidRPr="007C2E4E" w:rsidRDefault="007C2E4E" w:rsidP="007C2E4E">
            <w:pPr>
              <w:widowControl/>
              <w:spacing w:line="375" w:lineRule="atLeast"/>
              <w:jc w:val="left"/>
              <w:rPr>
                <w:rFonts w:ascii="宋体" w:eastAsia="宋体" w:hAnsi="宋体" w:cs="宋体"/>
                <w:color w:val="4B4B4B"/>
                <w:kern w:val="0"/>
                <w:szCs w:val="21"/>
              </w:rPr>
            </w:pPr>
            <w:r w:rsidRPr="007C2E4E">
              <w:rPr>
                <w:rFonts w:ascii="宋体" w:eastAsia="宋体" w:hAnsi="宋体" w:cs="宋体" w:hint="eastAsia"/>
                <w:color w:val="4B4B4B"/>
                <w:kern w:val="0"/>
                <w:szCs w:val="21"/>
              </w:rPr>
              <w:t>教育部令第17号</w:t>
            </w:r>
          </w:p>
        </w:tc>
        <w:tc>
          <w:tcPr>
            <w:tcW w:w="574" w:type="pct"/>
            <w:hideMark/>
          </w:tcPr>
          <w:p w:rsidR="007C2E4E" w:rsidRPr="007C2E4E" w:rsidRDefault="007C2E4E" w:rsidP="007C2E4E">
            <w:pPr>
              <w:widowControl/>
              <w:spacing w:line="375" w:lineRule="atLeast"/>
              <w:jc w:val="left"/>
              <w:rPr>
                <w:rFonts w:ascii="宋体" w:eastAsia="宋体" w:hAnsi="宋体" w:cs="宋体"/>
                <w:b/>
                <w:bCs/>
                <w:color w:val="4B4B4B"/>
                <w:kern w:val="0"/>
                <w:szCs w:val="21"/>
              </w:rPr>
            </w:pPr>
            <w:r w:rsidRPr="007C2E4E">
              <w:rPr>
                <w:rFonts w:ascii="宋体" w:eastAsia="宋体" w:hAnsi="宋体" w:cs="宋体" w:hint="eastAsia"/>
                <w:b/>
                <w:bCs/>
                <w:color w:val="4B4B4B"/>
                <w:kern w:val="0"/>
                <w:szCs w:val="21"/>
              </w:rPr>
              <w:t>信息类别：</w:t>
            </w:r>
          </w:p>
        </w:tc>
        <w:tc>
          <w:tcPr>
            <w:tcW w:w="2440" w:type="pct"/>
            <w:gridSpan w:val="3"/>
            <w:hideMark/>
          </w:tcPr>
          <w:p w:rsidR="007C2E4E" w:rsidRPr="007C2E4E" w:rsidRDefault="007C2E4E" w:rsidP="007C2E4E">
            <w:pPr>
              <w:widowControl/>
              <w:spacing w:line="375" w:lineRule="atLeast"/>
              <w:jc w:val="left"/>
              <w:rPr>
                <w:rFonts w:ascii="宋体" w:eastAsia="宋体" w:hAnsi="宋体" w:cs="宋体"/>
                <w:color w:val="4B4B4B"/>
                <w:kern w:val="0"/>
                <w:szCs w:val="21"/>
              </w:rPr>
            </w:pPr>
            <w:r w:rsidRPr="007C2E4E">
              <w:rPr>
                <w:rFonts w:ascii="宋体" w:eastAsia="宋体" w:hAnsi="宋体" w:cs="宋体" w:hint="eastAsia"/>
                <w:color w:val="4B4B4B"/>
                <w:kern w:val="0"/>
                <w:szCs w:val="21"/>
              </w:rPr>
              <w:t>部门规章</w:t>
            </w:r>
          </w:p>
        </w:tc>
      </w:tr>
      <w:tr w:rsidR="007C2E4E" w:rsidRPr="007C2E4E" w:rsidTr="007C2E4E">
        <w:trPr>
          <w:tblCellSpacing w:w="0" w:type="dxa"/>
        </w:trPr>
        <w:tc>
          <w:tcPr>
            <w:tcW w:w="659" w:type="pct"/>
            <w:hideMark/>
          </w:tcPr>
          <w:p w:rsidR="007C2E4E" w:rsidRPr="007C2E4E" w:rsidRDefault="007C2E4E" w:rsidP="007C2E4E">
            <w:pPr>
              <w:widowControl/>
              <w:spacing w:line="375" w:lineRule="atLeast"/>
              <w:jc w:val="left"/>
              <w:rPr>
                <w:rFonts w:ascii="宋体" w:eastAsia="宋体" w:hAnsi="宋体" w:cs="宋体"/>
                <w:b/>
                <w:bCs/>
                <w:color w:val="4B4B4B"/>
                <w:kern w:val="0"/>
                <w:szCs w:val="21"/>
              </w:rPr>
            </w:pPr>
            <w:r w:rsidRPr="007C2E4E">
              <w:rPr>
                <w:rFonts w:ascii="宋体" w:eastAsia="宋体" w:hAnsi="宋体" w:cs="宋体" w:hint="eastAsia"/>
                <w:b/>
                <w:bCs/>
                <w:color w:val="4B4B4B"/>
                <w:kern w:val="0"/>
                <w:szCs w:val="21"/>
              </w:rPr>
              <w:t>内容概述：</w:t>
            </w:r>
          </w:p>
        </w:tc>
        <w:tc>
          <w:tcPr>
            <w:tcW w:w="4341" w:type="pct"/>
            <w:gridSpan w:val="5"/>
            <w:hideMark/>
          </w:tcPr>
          <w:p w:rsidR="007C2E4E" w:rsidRPr="007C2E4E" w:rsidRDefault="007C2E4E" w:rsidP="007C2E4E">
            <w:pPr>
              <w:widowControl/>
              <w:spacing w:line="375" w:lineRule="atLeast"/>
              <w:jc w:val="left"/>
              <w:rPr>
                <w:rFonts w:ascii="宋体" w:eastAsia="宋体" w:hAnsi="宋体" w:cs="宋体"/>
                <w:color w:val="4B4B4B"/>
                <w:kern w:val="0"/>
                <w:szCs w:val="21"/>
              </w:rPr>
            </w:pPr>
            <w:r w:rsidRPr="007C2E4E">
              <w:rPr>
                <w:rFonts w:ascii="宋体" w:eastAsia="宋体" w:hAnsi="宋体" w:cs="宋体" w:hint="eastAsia"/>
                <w:color w:val="4B4B4B"/>
                <w:kern w:val="0"/>
                <w:szCs w:val="21"/>
              </w:rPr>
              <w:t>教育部2004年4月13日发布的部门规章，规定了教育系统</w:t>
            </w:r>
            <w:proofErr w:type="gramStart"/>
            <w:r w:rsidRPr="007C2E4E">
              <w:rPr>
                <w:rFonts w:ascii="宋体" w:eastAsia="宋体" w:hAnsi="宋体" w:cs="宋体" w:hint="eastAsia"/>
                <w:color w:val="4B4B4B"/>
                <w:kern w:val="0"/>
                <w:szCs w:val="21"/>
              </w:rPr>
              <w:t>内部内部</w:t>
            </w:r>
            <w:proofErr w:type="gramEnd"/>
            <w:r w:rsidRPr="007C2E4E">
              <w:rPr>
                <w:rFonts w:ascii="宋体" w:eastAsia="宋体" w:hAnsi="宋体" w:cs="宋体" w:hint="eastAsia"/>
                <w:color w:val="4B4B4B"/>
                <w:kern w:val="0"/>
                <w:szCs w:val="21"/>
              </w:rPr>
              <w:t>审计的组织和领导，内部审计机构和审计人员等事项。</w:t>
            </w:r>
          </w:p>
        </w:tc>
      </w:tr>
    </w:tbl>
    <w:p w:rsidR="007C2E4E" w:rsidRPr="007C2E4E" w:rsidRDefault="007C2E4E" w:rsidP="007C2E4E">
      <w:pPr>
        <w:widowControl/>
        <w:shd w:val="clear" w:color="auto" w:fill="FFFFFF"/>
        <w:jc w:val="left"/>
        <w:rPr>
          <w:rFonts w:ascii="宋体" w:eastAsia="宋体" w:hAnsi="宋体" w:cs="宋体"/>
          <w:vanish/>
          <w:kern w:val="0"/>
          <w:sz w:val="24"/>
          <w:szCs w:val="24"/>
        </w:rPr>
      </w:pPr>
      <w:r w:rsidRPr="007C2E4E">
        <w:rPr>
          <w:rFonts w:ascii="宋体" w:eastAsia="宋体" w:hAnsi="宋体" w:cs="宋体"/>
          <w:vanish/>
          <w:kern w:val="0"/>
          <w:sz w:val="24"/>
          <w:szCs w:val="24"/>
        </w:rPr>
        <w:t>信息公开_部令</w:t>
      </w:r>
    </w:p>
    <w:p w:rsidR="007C2E4E" w:rsidRPr="007C2E4E" w:rsidRDefault="007C2E4E" w:rsidP="007C2E4E">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7C2E4E">
        <w:rPr>
          <w:rFonts w:ascii="微软雅黑" w:eastAsia="微软雅黑" w:hAnsi="微软雅黑" w:cs="宋体" w:hint="eastAsia"/>
          <w:b/>
          <w:bCs/>
          <w:vanish/>
          <w:color w:val="4B4B4B"/>
          <w:kern w:val="0"/>
          <w:sz w:val="24"/>
          <w:szCs w:val="24"/>
        </w:rPr>
        <w:t>教育部令第17号</w:t>
      </w:r>
    </w:p>
    <w:p w:rsidR="007C2E4E" w:rsidRPr="007C2E4E" w:rsidRDefault="007C2E4E" w:rsidP="007C2E4E">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7C2E4E">
        <w:rPr>
          <w:rFonts w:ascii="微软雅黑" w:eastAsia="微软雅黑" w:hAnsi="微软雅黑" w:cs="宋体" w:hint="eastAsia"/>
          <w:b/>
          <w:bCs/>
          <w:vanish/>
          <w:color w:val="4B4B4B"/>
          <w:kern w:val="36"/>
          <w:sz w:val="30"/>
          <w:szCs w:val="30"/>
        </w:rPr>
        <w:t>教育系统内部审计工作规定</w:t>
      </w:r>
    </w:p>
    <w:p w:rsidR="007C2E4E" w:rsidRPr="007C2E4E" w:rsidRDefault="007C2E4E" w:rsidP="007C2E4E">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7C2E4E">
        <w:rPr>
          <w:rFonts w:ascii="微软雅黑" w:eastAsia="微软雅黑" w:hAnsi="微软雅黑" w:cs="宋体" w:hint="eastAsia"/>
          <w:b/>
          <w:bCs/>
          <w:color w:val="4B4B4B"/>
          <w:kern w:val="0"/>
          <w:sz w:val="24"/>
          <w:szCs w:val="24"/>
        </w:rPr>
        <w:t>教育部令第17号</w:t>
      </w:r>
    </w:p>
    <w:p w:rsidR="007C2E4E" w:rsidRPr="007C2E4E" w:rsidRDefault="007C2E4E" w:rsidP="007C2E4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2004年3月1日经部长办公会议讨论通过</w:t>
      </w:r>
    </w:p>
    <w:p w:rsidR="007C2E4E" w:rsidRPr="007C2E4E" w:rsidRDefault="007C2E4E" w:rsidP="007C2E4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b/>
          <w:bCs/>
          <w:color w:val="4B4B4B"/>
          <w:kern w:val="0"/>
          <w:sz w:val="24"/>
          <w:szCs w:val="24"/>
        </w:rPr>
        <w:t>第一章　总则</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第一条</w:t>
      </w:r>
      <w:r w:rsidRPr="007C2E4E">
        <w:rPr>
          <w:rFonts w:ascii="微软雅黑" w:eastAsia="微软雅黑" w:hAnsi="微软雅黑" w:cs="宋体" w:hint="eastAsia"/>
          <w:color w:val="4B4B4B"/>
          <w:kern w:val="0"/>
          <w:sz w:val="24"/>
          <w:szCs w:val="24"/>
        </w:rPr>
        <w:t xml:space="preserve">　为了建立健全教育系统内部审计制度，规范教育系统内部审计工作，根据《中华人民共和国教育法》、《中华人民共和国审计法》和《审计署关于内部审计工作的规定》等法律、法规，制定本规定。</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第二条</w:t>
      </w:r>
      <w:r w:rsidRPr="007C2E4E">
        <w:rPr>
          <w:rFonts w:ascii="微软雅黑" w:eastAsia="微软雅黑" w:hAnsi="微软雅黑" w:cs="宋体" w:hint="eastAsia"/>
          <w:color w:val="4B4B4B"/>
          <w:kern w:val="0"/>
          <w:sz w:val="24"/>
          <w:szCs w:val="24"/>
        </w:rPr>
        <w:t xml:space="preserve">　教育系统按照依法治教、从严管理的原则，应建立内部审计制度，促进教育行政部门和单位遵守国家财经法规，规范内部管理，加强廉政建设，维护自身合法权益，防范风险，提高教育资金使用效益。</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第三条</w:t>
      </w:r>
      <w:r w:rsidRPr="007C2E4E">
        <w:rPr>
          <w:rFonts w:ascii="微软雅黑" w:eastAsia="微软雅黑" w:hAnsi="微软雅黑" w:cs="宋体" w:hint="eastAsia"/>
          <w:color w:val="4B4B4B"/>
          <w:kern w:val="0"/>
          <w:sz w:val="24"/>
          <w:szCs w:val="24"/>
        </w:rPr>
        <w:t xml:space="preserve">　教育系统内部审计是教育系统内部审计机构、审计人员对财务收支、经济活动的真实、合法和效益进行独立监督、评价的行为。</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第四条</w:t>
      </w:r>
      <w:r w:rsidRPr="007C2E4E">
        <w:rPr>
          <w:rFonts w:ascii="微软雅黑" w:eastAsia="微软雅黑" w:hAnsi="微软雅黑" w:cs="宋体" w:hint="eastAsia"/>
          <w:color w:val="4B4B4B"/>
          <w:kern w:val="0"/>
          <w:sz w:val="24"/>
          <w:szCs w:val="24"/>
        </w:rPr>
        <w:t xml:space="preserve">　教育行政部门和单位应当依照国家法律、法规和本规定，实行内部审计制度，设置独立的内部审计机构，配备审计人员，开展内部审计工作。</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第五条</w:t>
      </w:r>
      <w:r w:rsidRPr="007C2E4E">
        <w:rPr>
          <w:rFonts w:ascii="微软雅黑" w:eastAsia="微软雅黑" w:hAnsi="微软雅黑" w:cs="宋体" w:hint="eastAsia"/>
          <w:color w:val="4B4B4B"/>
          <w:kern w:val="0"/>
          <w:sz w:val="24"/>
          <w:szCs w:val="24"/>
        </w:rPr>
        <w:t xml:space="preserve">　本规定所称教育行政部门，是指县级及县级以上的各级教育行政部门；单位，是指高等学校及其它教育事业、企业单位。</w:t>
      </w:r>
    </w:p>
    <w:p w:rsidR="007C2E4E" w:rsidRPr="007C2E4E" w:rsidRDefault="007C2E4E" w:rsidP="007C2E4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b/>
          <w:bCs/>
          <w:color w:val="4B4B4B"/>
          <w:kern w:val="0"/>
          <w:sz w:val="24"/>
          <w:szCs w:val="24"/>
        </w:rPr>
        <w:lastRenderedPageBreak/>
        <w:t>第二章　组织和领导</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第六条</w:t>
      </w:r>
      <w:r w:rsidRPr="007C2E4E">
        <w:rPr>
          <w:rFonts w:ascii="微软雅黑" w:eastAsia="微软雅黑" w:hAnsi="微软雅黑" w:cs="宋体" w:hint="eastAsia"/>
          <w:color w:val="4B4B4B"/>
          <w:kern w:val="0"/>
          <w:sz w:val="24"/>
          <w:szCs w:val="24"/>
        </w:rPr>
        <w:t xml:space="preserve">　教育部内部审计机构负责指导和检查全国教育系统内部审计工作，并对所属单位实施内部审计。</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地方各级教育行政部门内部审计机构负责指导和检查本地区教育系统内部审计工作，并对本部门所属单位实施内部审计。</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单位内部审计机构对本单位及所属单位(含占控股地位或者主导地位的单位)实施内部审计。</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第七条</w:t>
      </w:r>
      <w:r w:rsidRPr="007C2E4E">
        <w:rPr>
          <w:rFonts w:ascii="微软雅黑" w:eastAsia="微软雅黑" w:hAnsi="微软雅黑" w:cs="宋体" w:hint="eastAsia"/>
          <w:color w:val="4B4B4B"/>
          <w:kern w:val="0"/>
          <w:sz w:val="24"/>
          <w:szCs w:val="24"/>
        </w:rPr>
        <w:t xml:space="preserve">　内部审计机构在本部门、本单位主要负责人的领导下，依据国家法律、法规和政策，以及上级部门和本部门、本单位的规章制度，独立开展内部审计工作，对本部门、本单位主要负责人负责并报告工作，同时接受国家审计机关和上级主管部门内部审计机构的业务指导和检查。</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第八条</w:t>
      </w:r>
      <w:r w:rsidRPr="007C2E4E">
        <w:rPr>
          <w:rFonts w:ascii="微软雅黑" w:eastAsia="微软雅黑" w:hAnsi="微软雅黑" w:cs="宋体" w:hint="eastAsia"/>
          <w:color w:val="4B4B4B"/>
          <w:kern w:val="0"/>
          <w:sz w:val="24"/>
          <w:szCs w:val="24"/>
        </w:rPr>
        <w:t xml:space="preserve">　教育行政部门和单位主要负责人领导本部门、本单位内部审计工作的主要职责：</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proofErr w:type="gramStart"/>
      <w:r w:rsidRPr="007C2E4E">
        <w:rPr>
          <w:rFonts w:ascii="微软雅黑" w:eastAsia="微软雅黑" w:hAnsi="微软雅黑" w:cs="宋体" w:hint="eastAsia"/>
          <w:color w:val="4B4B4B"/>
          <w:kern w:val="0"/>
          <w:sz w:val="24"/>
          <w:szCs w:val="24"/>
        </w:rPr>
        <w:t>一</w:t>
      </w:r>
      <w:proofErr w:type="gramEnd"/>
      <w:r w:rsidRPr="007C2E4E">
        <w:rPr>
          <w:rFonts w:ascii="微软雅黑" w:eastAsia="微软雅黑" w:hAnsi="微软雅黑" w:cs="宋体" w:hint="eastAsia"/>
          <w:color w:val="4B4B4B"/>
          <w:kern w:val="0"/>
          <w:sz w:val="24"/>
          <w:szCs w:val="24"/>
        </w:rPr>
        <w:t>)建立健全内部审计机构，完善内部审计规章制度；</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(二)定期研究、部署和检查审计工作，听取内部审计机构的工作汇报，及时审批年度审计工作计划、审计报告，督促审计意见和审计决定的执行；</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(三)支持内部审计机构和审计人员依法履行职责，并提供经费保证和工作条件；</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lastRenderedPageBreak/>
        <w:t xml:space="preserve">　　(四)对成绩显著的内部审计机构和审计人员进行表彰和奖励；</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(五)加强审计队伍建设，切实解决审计人员在培训、专业职务评聘和待遇等方面存在的实际困难和问题。</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第九条</w:t>
      </w:r>
      <w:r w:rsidRPr="007C2E4E">
        <w:rPr>
          <w:rFonts w:ascii="微软雅黑" w:eastAsia="微软雅黑" w:hAnsi="微软雅黑" w:cs="宋体" w:hint="eastAsia"/>
          <w:color w:val="4B4B4B"/>
          <w:kern w:val="0"/>
          <w:sz w:val="24"/>
          <w:szCs w:val="24"/>
        </w:rPr>
        <w:t xml:space="preserve">　教育行政部门内部审计机构指导内部审计工作的主要职责：</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proofErr w:type="gramStart"/>
      <w:r w:rsidRPr="007C2E4E">
        <w:rPr>
          <w:rFonts w:ascii="微软雅黑" w:eastAsia="微软雅黑" w:hAnsi="微软雅黑" w:cs="宋体" w:hint="eastAsia"/>
          <w:color w:val="4B4B4B"/>
          <w:kern w:val="0"/>
          <w:sz w:val="24"/>
          <w:szCs w:val="24"/>
        </w:rPr>
        <w:t>一</w:t>
      </w:r>
      <w:proofErr w:type="gramEnd"/>
      <w:r w:rsidRPr="007C2E4E">
        <w:rPr>
          <w:rFonts w:ascii="微软雅黑" w:eastAsia="微软雅黑" w:hAnsi="微软雅黑" w:cs="宋体" w:hint="eastAsia"/>
          <w:color w:val="4B4B4B"/>
          <w:kern w:val="0"/>
          <w:sz w:val="24"/>
          <w:szCs w:val="24"/>
        </w:rPr>
        <w:t>)依据国家法律、法规和上级主管部门及本部门的有关规定，制定内部审计规章制度；</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(二)督促本部门所属单位和下级教育行政部门建立健全内部审计机构，配备审计人员；</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(三)及时做出工作部署，指导和督促本地区教育系统内部审计机构和审计人员依法开展工作；</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(四)组织审计人员参加岗位资格培训和后续教育，开展内部审计理论研讨；</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(五)总结、推广先进经验，提出表彰先进集体和先进个人的建议；</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(六)维护内部审计机构和审计人员的合法权益。</w:t>
      </w:r>
    </w:p>
    <w:p w:rsidR="007C2E4E" w:rsidRPr="007C2E4E" w:rsidRDefault="007C2E4E" w:rsidP="007C2E4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b/>
          <w:bCs/>
          <w:color w:val="4B4B4B"/>
          <w:kern w:val="0"/>
          <w:sz w:val="24"/>
          <w:szCs w:val="24"/>
        </w:rPr>
        <w:t>第三章　内部审计机构和审计人员</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第十条</w:t>
      </w:r>
      <w:r w:rsidRPr="007C2E4E">
        <w:rPr>
          <w:rFonts w:ascii="微软雅黑" w:eastAsia="微软雅黑" w:hAnsi="微软雅黑" w:cs="宋体" w:hint="eastAsia"/>
          <w:color w:val="4B4B4B"/>
          <w:kern w:val="0"/>
          <w:sz w:val="24"/>
          <w:szCs w:val="24"/>
        </w:rPr>
        <w:t xml:space="preserve">　教育系统内部审计机构应按照职责分明、科学管理和审计独立性的原则设置；暂时不具备设置条件的，应当配备专门人员负责内部审计工作。</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lastRenderedPageBreak/>
        <w:t xml:space="preserve">　　</w:t>
      </w:r>
      <w:r w:rsidRPr="007C2E4E">
        <w:rPr>
          <w:rFonts w:ascii="微软雅黑" w:eastAsia="微软雅黑" w:hAnsi="微软雅黑" w:cs="宋体" w:hint="eastAsia"/>
          <w:b/>
          <w:bCs/>
          <w:color w:val="4B4B4B"/>
          <w:kern w:val="0"/>
          <w:sz w:val="24"/>
          <w:szCs w:val="24"/>
        </w:rPr>
        <w:t>第十一条</w:t>
      </w:r>
      <w:r w:rsidRPr="007C2E4E">
        <w:rPr>
          <w:rFonts w:ascii="微软雅黑" w:eastAsia="微软雅黑" w:hAnsi="微软雅黑" w:cs="宋体" w:hint="eastAsia"/>
          <w:color w:val="4B4B4B"/>
          <w:kern w:val="0"/>
          <w:sz w:val="24"/>
          <w:szCs w:val="24"/>
        </w:rPr>
        <w:t xml:space="preserve">　教育行政部门和单位，应当保证审计工作所必需的专职人员编制，配备具有内部审计岗位资格的审计人员。</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教育行政部门和单位，可以根据工作需要，聘请特约审计人员和兼职审计人员。</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第十二条</w:t>
      </w:r>
      <w:r w:rsidRPr="007C2E4E">
        <w:rPr>
          <w:rFonts w:ascii="微软雅黑" w:eastAsia="微软雅黑" w:hAnsi="微软雅黑" w:cs="宋体" w:hint="eastAsia"/>
          <w:color w:val="4B4B4B"/>
          <w:kern w:val="0"/>
          <w:sz w:val="24"/>
          <w:szCs w:val="24"/>
        </w:rPr>
        <w:t xml:space="preserve">　内部审计机构的变动和审计机构负责人的任免或调动，应事先征求上一级主管部门内审机构的意见。</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第十三条</w:t>
      </w:r>
      <w:r w:rsidRPr="007C2E4E">
        <w:rPr>
          <w:rFonts w:ascii="微软雅黑" w:eastAsia="微软雅黑" w:hAnsi="微软雅黑" w:cs="宋体" w:hint="eastAsia"/>
          <w:color w:val="4B4B4B"/>
          <w:kern w:val="0"/>
          <w:sz w:val="24"/>
          <w:szCs w:val="24"/>
        </w:rPr>
        <w:t xml:space="preserve">　内部审计机构在审计过程中应当严格执行内部审计制度，保证审计业务质量，提高工作效率。</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第十四条</w:t>
      </w:r>
      <w:r w:rsidRPr="007C2E4E">
        <w:rPr>
          <w:rFonts w:ascii="微软雅黑" w:eastAsia="微软雅黑" w:hAnsi="微软雅黑" w:cs="宋体" w:hint="eastAsia"/>
          <w:color w:val="4B4B4B"/>
          <w:kern w:val="0"/>
          <w:sz w:val="24"/>
          <w:szCs w:val="24"/>
        </w:rPr>
        <w:t xml:space="preserve">　审计人员办理审计事项，应当严格遵守内部审计准则和内部审计人员职业道德规范。</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审计人员办理审计事项，与被审计单位或审计事项有直接利害关系的，应当回避。</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第十五条</w:t>
      </w:r>
      <w:r w:rsidRPr="007C2E4E">
        <w:rPr>
          <w:rFonts w:ascii="微软雅黑" w:eastAsia="微软雅黑" w:hAnsi="微软雅黑" w:cs="宋体" w:hint="eastAsia"/>
          <w:color w:val="4B4B4B"/>
          <w:kern w:val="0"/>
          <w:sz w:val="24"/>
          <w:szCs w:val="24"/>
        </w:rPr>
        <w:t xml:space="preserve">　审计人员依法履行职责，受法律保护，任何单位和个人不得设置障碍和打击报复。</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第十六条</w:t>
      </w:r>
      <w:r w:rsidRPr="007C2E4E">
        <w:rPr>
          <w:rFonts w:ascii="微软雅黑" w:eastAsia="微软雅黑" w:hAnsi="微软雅黑" w:cs="宋体" w:hint="eastAsia"/>
          <w:color w:val="4B4B4B"/>
          <w:kern w:val="0"/>
          <w:sz w:val="24"/>
          <w:szCs w:val="24"/>
        </w:rPr>
        <w:t xml:space="preserve">　审计人员应当按照国家的有关规定，参加岗位资格培训和后续教育。</w:t>
      </w:r>
    </w:p>
    <w:p w:rsidR="007C2E4E" w:rsidRPr="007C2E4E" w:rsidRDefault="007C2E4E" w:rsidP="007C2E4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b/>
          <w:bCs/>
          <w:color w:val="4B4B4B"/>
          <w:kern w:val="0"/>
          <w:sz w:val="24"/>
          <w:szCs w:val="24"/>
        </w:rPr>
        <w:t>第四章　内部审计机构职责和权限</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第十七条</w:t>
      </w:r>
      <w:r w:rsidRPr="007C2E4E">
        <w:rPr>
          <w:rFonts w:ascii="微软雅黑" w:eastAsia="微软雅黑" w:hAnsi="微软雅黑" w:cs="宋体" w:hint="eastAsia"/>
          <w:color w:val="4B4B4B"/>
          <w:kern w:val="0"/>
          <w:sz w:val="24"/>
          <w:szCs w:val="24"/>
        </w:rPr>
        <w:t xml:space="preserve">　内部审计机构和审计人员主要对下列事项进行审计：</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lastRenderedPageBreak/>
        <w:t xml:space="preserve">　　(</w:t>
      </w:r>
      <w:proofErr w:type="gramStart"/>
      <w:r w:rsidRPr="007C2E4E">
        <w:rPr>
          <w:rFonts w:ascii="微软雅黑" w:eastAsia="微软雅黑" w:hAnsi="微软雅黑" w:cs="宋体" w:hint="eastAsia"/>
          <w:color w:val="4B4B4B"/>
          <w:kern w:val="0"/>
          <w:sz w:val="24"/>
          <w:szCs w:val="24"/>
        </w:rPr>
        <w:t>一</w:t>
      </w:r>
      <w:proofErr w:type="gramEnd"/>
      <w:r w:rsidRPr="007C2E4E">
        <w:rPr>
          <w:rFonts w:ascii="微软雅黑" w:eastAsia="微软雅黑" w:hAnsi="微软雅黑" w:cs="宋体" w:hint="eastAsia"/>
          <w:color w:val="4B4B4B"/>
          <w:kern w:val="0"/>
          <w:sz w:val="24"/>
          <w:szCs w:val="24"/>
        </w:rPr>
        <w:t>)财务收支及有关经济活动；</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(二)预算执行和决算；</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(三)预算内、预算外资金的管理和使用；</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(四)专项教育资金的筹措、拨付、管理和使用；</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(五)固定资产的管理和使用；</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(六)建设、修缮工程项目；</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(七)对外投资项目；</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(八)内部控制制度的健全、有效及风险管理；</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(九)经济管理和效益情况；</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(十)有关领导人员的任期经济责任；</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(十一)本部门、本单位主要负责人和上级主管部门交办的其他事项。</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第十八条</w:t>
      </w:r>
      <w:r w:rsidRPr="007C2E4E">
        <w:rPr>
          <w:rFonts w:ascii="微软雅黑" w:eastAsia="微软雅黑" w:hAnsi="微软雅黑" w:cs="宋体" w:hint="eastAsia"/>
          <w:color w:val="4B4B4B"/>
          <w:kern w:val="0"/>
          <w:sz w:val="24"/>
          <w:szCs w:val="24"/>
        </w:rPr>
        <w:t xml:space="preserve">　教育系统内部审计机构对本部门、本单位和所属单位财务收支及有关经济活动中的重大事项组织或进行专项审计调查，并向本部门、本单位领导或上级主管部门报告审计调查结果。各单位内部审计机构配合财务部门加强财务管理，对本单位资金收支的真实性、完整性、合法性，以及账务处理的正确性进行严格监督，定期进行审计调查。</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lastRenderedPageBreak/>
        <w:t xml:space="preserve">　　</w:t>
      </w:r>
      <w:r w:rsidRPr="007C2E4E">
        <w:rPr>
          <w:rFonts w:ascii="微软雅黑" w:eastAsia="微软雅黑" w:hAnsi="微软雅黑" w:cs="宋体" w:hint="eastAsia"/>
          <w:b/>
          <w:bCs/>
          <w:color w:val="4B4B4B"/>
          <w:kern w:val="0"/>
          <w:sz w:val="24"/>
          <w:szCs w:val="24"/>
        </w:rPr>
        <w:t>第十九条</w:t>
      </w:r>
      <w:r w:rsidRPr="007C2E4E">
        <w:rPr>
          <w:rFonts w:ascii="微软雅黑" w:eastAsia="微软雅黑" w:hAnsi="微软雅黑" w:cs="宋体" w:hint="eastAsia"/>
          <w:color w:val="4B4B4B"/>
          <w:kern w:val="0"/>
          <w:sz w:val="24"/>
          <w:szCs w:val="24"/>
        </w:rPr>
        <w:t xml:space="preserve">　内部审计机构根据工作需要，经所在部门、单位负责人批准，可委托社会中介机构对有关事项进行审计。</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第二十条</w:t>
      </w:r>
      <w:r w:rsidRPr="007C2E4E">
        <w:rPr>
          <w:rFonts w:ascii="微软雅黑" w:eastAsia="微软雅黑" w:hAnsi="微软雅黑" w:cs="宋体" w:hint="eastAsia"/>
          <w:color w:val="4B4B4B"/>
          <w:kern w:val="0"/>
          <w:sz w:val="24"/>
          <w:szCs w:val="24"/>
        </w:rPr>
        <w:t xml:space="preserve">　内部审计机构在履行审计职责时，具有下列主要权限：</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proofErr w:type="gramStart"/>
      <w:r w:rsidRPr="007C2E4E">
        <w:rPr>
          <w:rFonts w:ascii="微软雅黑" w:eastAsia="微软雅黑" w:hAnsi="微软雅黑" w:cs="宋体" w:hint="eastAsia"/>
          <w:color w:val="4B4B4B"/>
          <w:kern w:val="0"/>
          <w:sz w:val="24"/>
          <w:szCs w:val="24"/>
        </w:rPr>
        <w:t>一</w:t>
      </w:r>
      <w:proofErr w:type="gramEnd"/>
      <w:r w:rsidRPr="007C2E4E">
        <w:rPr>
          <w:rFonts w:ascii="微软雅黑" w:eastAsia="微软雅黑" w:hAnsi="微软雅黑" w:cs="宋体" w:hint="eastAsia"/>
          <w:color w:val="4B4B4B"/>
          <w:kern w:val="0"/>
          <w:sz w:val="24"/>
          <w:szCs w:val="24"/>
        </w:rPr>
        <w:t>)要求有关单位按时报送财务收支计划、预算执行情况、决算、会计报表和其他有关文件、资料等；</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(二)对审计涉及的有关事项，向有关单位和个人进行调查并取得有关文件、资料和证明材料；</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(三)审查会计凭证、账簿等，检查资金和财产，检查有关电子数据和资料，勘察现场实物；</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(四)参与制定有关的规章制度，起草内部审计规章制度；</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(五)参加本部门、本单位的有关会议，召开与审计事项有关的会议；</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(六)对正在进行的严重违法违纪、严重损失浪费的行为，做出临时的制止决定；</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(七)对可能转移、隐匿、篡改、毁弃的会计凭证、会计账簿、会计报表以及与经济活动有关的资料，经本部门、本单位主要负责人批准，有权采取暂时封存的措施；</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(八)提出改进管理、提高经济效益的建议；对模范遵守和维护财经法纪成绩显著的单位和人员提出给予表彰的建议；对违法违规和造成损失浪费的行为提出</w:t>
      </w:r>
      <w:r w:rsidRPr="007C2E4E">
        <w:rPr>
          <w:rFonts w:ascii="微软雅黑" w:eastAsia="微软雅黑" w:hAnsi="微软雅黑" w:cs="宋体" w:hint="eastAsia"/>
          <w:color w:val="4B4B4B"/>
          <w:kern w:val="0"/>
          <w:sz w:val="24"/>
          <w:szCs w:val="24"/>
        </w:rPr>
        <w:lastRenderedPageBreak/>
        <w:t>纠正、处理的意见；对严重违法违规和造成严重损失浪费的有关单位和人员提出移交纪检、监察或司法部门处理的建议。</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第二十一条</w:t>
      </w:r>
      <w:r w:rsidRPr="007C2E4E">
        <w:rPr>
          <w:rFonts w:ascii="微软雅黑" w:eastAsia="微软雅黑" w:hAnsi="微软雅黑" w:cs="宋体" w:hint="eastAsia"/>
          <w:color w:val="4B4B4B"/>
          <w:kern w:val="0"/>
          <w:sz w:val="24"/>
          <w:szCs w:val="24"/>
        </w:rPr>
        <w:t xml:space="preserve">　教育系统内部审计可以利用国家审计机关、上级内部审计机构和社会中介机构的审计结果；内部审计的审计结果经本部门、本单位主要负责人批准同意后，可提供给有关部门。</w:t>
      </w:r>
    </w:p>
    <w:p w:rsidR="007C2E4E" w:rsidRPr="007C2E4E" w:rsidRDefault="007C2E4E" w:rsidP="007C2E4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b/>
          <w:bCs/>
          <w:color w:val="4B4B4B"/>
          <w:kern w:val="0"/>
          <w:sz w:val="24"/>
          <w:szCs w:val="24"/>
        </w:rPr>
        <w:t>第五章　内部审计工作程序</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第二十二条</w:t>
      </w:r>
      <w:r w:rsidRPr="007C2E4E">
        <w:rPr>
          <w:rFonts w:ascii="微软雅黑" w:eastAsia="微软雅黑" w:hAnsi="微软雅黑" w:cs="宋体" w:hint="eastAsia"/>
          <w:color w:val="4B4B4B"/>
          <w:kern w:val="0"/>
          <w:sz w:val="24"/>
          <w:szCs w:val="24"/>
        </w:rPr>
        <w:t xml:space="preserve">　内部审计机构应当根据本部门、本单位的中心任务和上级内部审计机构的部署，制定年度审计工作计划，报经本部门、本单位主要负责人批准后组织实施。</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第二十三条</w:t>
      </w:r>
      <w:r w:rsidRPr="007C2E4E">
        <w:rPr>
          <w:rFonts w:ascii="微软雅黑" w:eastAsia="微软雅黑" w:hAnsi="微软雅黑" w:cs="宋体" w:hint="eastAsia"/>
          <w:color w:val="4B4B4B"/>
          <w:kern w:val="0"/>
          <w:sz w:val="24"/>
          <w:szCs w:val="24"/>
        </w:rPr>
        <w:t xml:space="preserve">　内部审计机构实施审计，应组成审计组，编制审计方案，并在实施审计前向被审计单位送达审计通知书。</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第二十四条</w:t>
      </w:r>
      <w:r w:rsidRPr="007C2E4E">
        <w:rPr>
          <w:rFonts w:ascii="微软雅黑" w:eastAsia="微软雅黑" w:hAnsi="微软雅黑" w:cs="宋体" w:hint="eastAsia"/>
          <w:color w:val="4B4B4B"/>
          <w:kern w:val="0"/>
          <w:sz w:val="24"/>
          <w:szCs w:val="24"/>
        </w:rPr>
        <w:t xml:space="preserve">　审计人员对审计事项实施审计，取得有关证明材料，编制审计工作底稿。</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第二十五条</w:t>
      </w:r>
      <w:r w:rsidRPr="007C2E4E">
        <w:rPr>
          <w:rFonts w:ascii="微软雅黑" w:eastAsia="微软雅黑" w:hAnsi="微软雅黑" w:cs="宋体" w:hint="eastAsia"/>
          <w:color w:val="4B4B4B"/>
          <w:kern w:val="0"/>
          <w:sz w:val="24"/>
          <w:szCs w:val="24"/>
        </w:rPr>
        <w:t xml:space="preserve">　审计组对审计事项实施审计后，编制审计报告，并征求被审计单位意见。被审计单位应当自接到审计报告之日起十个工作日内，将书面意见送交审计组，逾期即视为无异议。</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第二十六条</w:t>
      </w:r>
      <w:r w:rsidRPr="007C2E4E">
        <w:rPr>
          <w:rFonts w:ascii="微软雅黑" w:eastAsia="微软雅黑" w:hAnsi="微软雅黑" w:cs="宋体" w:hint="eastAsia"/>
          <w:color w:val="4B4B4B"/>
          <w:kern w:val="0"/>
          <w:sz w:val="24"/>
          <w:szCs w:val="24"/>
        </w:rPr>
        <w:t xml:space="preserve">　内部审计机构负责人对审计报告进行审核后，报本部门、本单位主要负责人审批。</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lastRenderedPageBreak/>
        <w:t xml:space="preserve">　　</w:t>
      </w:r>
      <w:r w:rsidRPr="007C2E4E">
        <w:rPr>
          <w:rFonts w:ascii="微软雅黑" w:eastAsia="微软雅黑" w:hAnsi="微软雅黑" w:cs="宋体" w:hint="eastAsia"/>
          <w:b/>
          <w:bCs/>
          <w:color w:val="4B4B4B"/>
          <w:kern w:val="0"/>
          <w:sz w:val="24"/>
          <w:szCs w:val="24"/>
        </w:rPr>
        <w:t>第二十七条</w:t>
      </w:r>
      <w:r w:rsidRPr="007C2E4E">
        <w:rPr>
          <w:rFonts w:ascii="微软雅黑" w:eastAsia="微软雅黑" w:hAnsi="微软雅黑" w:cs="宋体" w:hint="eastAsia"/>
          <w:color w:val="4B4B4B"/>
          <w:kern w:val="0"/>
          <w:sz w:val="24"/>
          <w:szCs w:val="24"/>
        </w:rPr>
        <w:t xml:space="preserve">　内部审计机构应对重要审计事项进行后续审计，检查被审计单位对审计发现的问题所采取的纠正措施及其效果。</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第二十八条</w:t>
      </w:r>
      <w:r w:rsidRPr="007C2E4E">
        <w:rPr>
          <w:rFonts w:ascii="微软雅黑" w:eastAsia="微软雅黑" w:hAnsi="微软雅黑" w:cs="宋体" w:hint="eastAsia"/>
          <w:color w:val="4B4B4B"/>
          <w:kern w:val="0"/>
          <w:sz w:val="24"/>
          <w:szCs w:val="24"/>
        </w:rPr>
        <w:t xml:space="preserve">　内部审计机构在审计事项结束后，应当按照有关规定建立和管理审计档案。</w:t>
      </w:r>
    </w:p>
    <w:p w:rsidR="007C2E4E" w:rsidRPr="007C2E4E" w:rsidRDefault="007C2E4E" w:rsidP="007C2E4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b/>
          <w:bCs/>
          <w:color w:val="4B4B4B"/>
          <w:kern w:val="0"/>
          <w:sz w:val="24"/>
          <w:szCs w:val="24"/>
        </w:rPr>
        <w:t>第六章　法律责任</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第二十九条</w:t>
      </w:r>
      <w:r w:rsidRPr="007C2E4E">
        <w:rPr>
          <w:rFonts w:ascii="微软雅黑" w:eastAsia="微软雅黑" w:hAnsi="微软雅黑" w:cs="宋体" w:hint="eastAsia"/>
          <w:color w:val="4B4B4B"/>
          <w:kern w:val="0"/>
          <w:sz w:val="24"/>
          <w:szCs w:val="24"/>
        </w:rPr>
        <w:t xml:space="preserve">　违反本规定，有下列行为之一的单位和个人，内部审计机构根据情节轻重，可以提出警告、通报批评、经济处理或移送纪检监察机关处理等建议，报本部门、本单位主要负责人，本部门、本单位主要负责人应及时予以处理：</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proofErr w:type="gramStart"/>
      <w:r w:rsidRPr="007C2E4E">
        <w:rPr>
          <w:rFonts w:ascii="微软雅黑" w:eastAsia="微软雅黑" w:hAnsi="微软雅黑" w:cs="宋体" w:hint="eastAsia"/>
          <w:color w:val="4B4B4B"/>
          <w:kern w:val="0"/>
          <w:sz w:val="24"/>
          <w:szCs w:val="24"/>
        </w:rPr>
        <w:t>一</w:t>
      </w:r>
      <w:proofErr w:type="gramEnd"/>
      <w:r w:rsidRPr="007C2E4E">
        <w:rPr>
          <w:rFonts w:ascii="微软雅黑" w:eastAsia="微软雅黑" w:hAnsi="微软雅黑" w:cs="宋体" w:hint="eastAsia"/>
          <w:color w:val="4B4B4B"/>
          <w:kern w:val="0"/>
          <w:sz w:val="24"/>
          <w:szCs w:val="24"/>
        </w:rPr>
        <w:t>)拒绝或拖延提供与审计事项有关的文件、会计资料和证明材料的；</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(二)转移、隐匿、篡改、毁弃有关文件和会计资料的；</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(三)转移、隐匿违法所得财产的；</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(四)弄虚作假，隐瞒事实真相的；</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(五)阻挠审计人员行使职权，抗拒、破坏监督检查的；</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(六)拒不执行审计决定的；</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(七)报复陷害审计人员或检举人员的。</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以上行为构成犯罪的，应当移交司法机关处理。</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lastRenderedPageBreak/>
        <w:t xml:space="preserve">　　</w:t>
      </w:r>
      <w:r w:rsidRPr="007C2E4E">
        <w:rPr>
          <w:rFonts w:ascii="微软雅黑" w:eastAsia="微软雅黑" w:hAnsi="微软雅黑" w:cs="宋体" w:hint="eastAsia"/>
          <w:b/>
          <w:bCs/>
          <w:color w:val="4B4B4B"/>
          <w:kern w:val="0"/>
          <w:sz w:val="24"/>
          <w:szCs w:val="24"/>
        </w:rPr>
        <w:t>第三十条</w:t>
      </w:r>
      <w:r w:rsidRPr="007C2E4E">
        <w:rPr>
          <w:rFonts w:ascii="微软雅黑" w:eastAsia="微软雅黑" w:hAnsi="微软雅黑" w:cs="宋体" w:hint="eastAsia"/>
          <w:color w:val="4B4B4B"/>
          <w:kern w:val="0"/>
          <w:sz w:val="24"/>
          <w:szCs w:val="24"/>
        </w:rPr>
        <w:t xml:space="preserve">　违反本规定，有下列行为之一的内部审计机构和审计人员，由其所在部门、单位根据有关规定给予批评教育或行政处分：</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proofErr w:type="gramStart"/>
      <w:r w:rsidRPr="007C2E4E">
        <w:rPr>
          <w:rFonts w:ascii="微软雅黑" w:eastAsia="微软雅黑" w:hAnsi="微软雅黑" w:cs="宋体" w:hint="eastAsia"/>
          <w:color w:val="4B4B4B"/>
          <w:kern w:val="0"/>
          <w:sz w:val="24"/>
          <w:szCs w:val="24"/>
        </w:rPr>
        <w:t>一</w:t>
      </w:r>
      <w:proofErr w:type="gramEnd"/>
      <w:r w:rsidRPr="007C2E4E">
        <w:rPr>
          <w:rFonts w:ascii="微软雅黑" w:eastAsia="微软雅黑" w:hAnsi="微软雅黑" w:cs="宋体" w:hint="eastAsia"/>
          <w:color w:val="4B4B4B"/>
          <w:kern w:val="0"/>
          <w:sz w:val="24"/>
          <w:szCs w:val="24"/>
        </w:rPr>
        <w:t>)利用职权，谋取私利的；</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(二)弄虚作假，徇私舞弊的；</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(三)玩忽职守，给国家和单位造成重大损失的；</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(四)泄露国家秘密和被审计单位秘密的。</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以上行为构成犯罪的，应当移交司法机关处理。</w:t>
      </w:r>
    </w:p>
    <w:p w:rsidR="007C2E4E" w:rsidRPr="007C2E4E" w:rsidRDefault="007C2E4E" w:rsidP="007C2E4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b/>
          <w:bCs/>
          <w:color w:val="4B4B4B"/>
          <w:kern w:val="0"/>
          <w:sz w:val="24"/>
          <w:szCs w:val="24"/>
        </w:rPr>
        <w:t>第七章　附则</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第三十一条</w:t>
      </w:r>
      <w:r w:rsidRPr="007C2E4E">
        <w:rPr>
          <w:rFonts w:ascii="微软雅黑" w:eastAsia="微软雅黑" w:hAnsi="微软雅黑" w:cs="宋体" w:hint="eastAsia"/>
          <w:color w:val="4B4B4B"/>
          <w:kern w:val="0"/>
          <w:sz w:val="24"/>
          <w:szCs w:val="24"/>
        </w:rPr>
        <w:t xml:space="preserve">　各级教育行政部门和单位可以根据本规定，结合实际情况，制定具体实施办法，并报上级主管部门备案。民办高等学校可以根据实际情况参照本规定执行。</w:t>
      </w:r>
    </w:p>
    <w:p w:rsidR="007C2E4E" w:rsidRPr="007C2E4E" w:rsidRDefault="007C2E4E" w:rsidP="007C2E4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 xml:space="preserve">　　</w:t>
      </w:r>
      <w:r w:rsidRPr="007C2E4E">
        <w:rPr>
          <w:rFonts w:ascii="微软雅黑" w:eastAsia="微软雅黑" w:hAnsi="微软雅黑" w:cs="宋体" w:hint="eastAsia"/>
          <w:b/>
          <w:bCs/>
          <w:color w:val="4B4B4B"/>
          <w:kern w:val="0"/>
          <w:sz w:val="24"/>
          <w:szCs w:val="24"/>
        </w:rPr>
        <w:t>第三十二条</w:t>
      </w:r>
      <w:r w:rsidRPr="007C2E4E">
        <w:rPr>
          <w:rFonts w:ascii="微软雅黑" w:eastAsia="微软雅黑" w:hAnsi="微软雅黑" w:cs="宋体" w:hint="eastAsia"/>
          <w:color w:val="4B4B4B"/>
          <w:kern w:val="0"/>
          <w:sz w:val="24"/>
          <w:szCs w:val="24"/>
        </w:rPr>
        <w:t xml:space="preserve">　本规定自二〇〇四年六月一日起施行，一九九六年四月五日国家教育委员会发布的第二十四号令《教育系统内部审计工作规定》同时废止。</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r w:rsidR="007C2E4E" w:rsidRPr="007C2E4E" w:rsidTr="007C2E4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C2E4E" w:rsidRPr="007C2E4E" w:rsidRDefault="007C2E4E" w:rsidP="007C2E4E">
            <w:pPr>
              <w:widowControl/>
              <w:jc w:val="left"/>
              <w:rPr>
                <w:rFonts w:ascii="宋体" w:eastAsia="宋体" w:hAnsi="宋体" w:cs="宋体"/>
                <w:kern w:val="0"/>
                <w:sz w:val="4"/>
                <w:szCs w:val="24"/>
              </w:rPr>
            </w:pPr>
          </w:p>
        </w:tc>
      </w:tr>
    </w:tbl>
    <w:p w:rsidR="007C2E4E" w:rsidRPr="007C2E4E" w:rsidRDefault="007C2E4E" w:rsidP="007C2E4E">
      <w:pPr>
        <w:widowControl/>
        <w:shd w:val="clear" w:color="auto" w:fill="FFFFFF"/>
        <w:jc w:val="center"/>
        <w:rPr>
          <w:rFonts w:ascii="微软雅黑" w:eastAsia="微软雅黑" w:hAnsi="微软雅黑" w:cs="宋体" w:hint="eastAsia"/>
          <w:color w:val="4B4B4B"/>
          <w:kern w:val="0"/>
          <w:sz w:val="24"/>
          <w:szCs w:val="24"/>
        </w:rPr>
      </w:pPr>
      <w:r w:rsidRPr="007C2E4E">
        <w:rPr>
          <w:rFonts w:ascii="微软雅黑" w:eastAsia="微软雅黑" w:hAnsi="微软雅黑" w:cs="宋体" w:hint="eastAsia"/>
          <w:color w:val="4B4B4B"/>
          <w:kern w:val="0"/>
          <w:sz w:val="24"/>
          <w:szCs w:val="24"/>
        </w:rPr>
        <w:t>扫一扫分享本页</w:t>
      </w:r>
    </w:p>
    <w:p w:rsidR="007D0354" w:rsidRDefault="007D0354"/>
    <w:sectPr w:rsidR="007D03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4E"/>
    <w:rsid w:val="007C2E4E"/>
    <w:rsid w:val="007D0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C2E4E"/>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7C2E4E"/>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7C2E4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2E4E"/>
    <w:rPr>
      <w:rFonts w:ascii="宋体" w:eastAsia="宋体" w:hAnsi="宋体" w:cs="宋体"/>
      <w:b/>
      <w:bCs/>
      <w:kern w:val="36"/>
      <w:sz w:val="48"/>
      <w:szCs w:val="48"/>
    </w:rPr>
  </w:style>
  <w:style w:type="character" w:customStyle="1" w:styleId="5Char">
    <w:name w:val="标题 5 Char"/>
    <w:basedOn w:val="a0"/>
    <w:link w:val="5"/>
    <w:uiPriority w:val="9"/>
    <w:rsid w:val="007C2E4E"/>
    <w:rPr>
      <w:rFonts w:ascii="宋体" w:eastAsia="宋体" w:hAnsi="宋体" w:cs="宋体"/>
      <w:b/>
      <w:bCs/>
      <w:kern w:val="0"/>
      <w:sz w:val="20"/>
      <w:szCs w:val="20"/>
    </w:rPr>
  </w:style>
  <w:style w:type="character" w:customStyle="1" w:styleId="6Char">
    <w:name w:val="标题 6 Char"/>
    <w:basedOn w:val="a0"/>
    <w:link w:val="6"/>
    <w:uiPriority w:val="9"/>
    <w:rsid w:val="007C2E4E"/>
    <w:rPr>
      <w:rFonts w:ascii="宋体" w:eastAsia="宋体" w:hAnsi="宋体" w:cs="宋体"/>
      <w:b/>
      <w:bCs/>
      <w:kern w:val="0"/>
      <w:sz w:val="15"/>
      <w:szCs w:val="15"/>
    </w:rPr>
  </w:style>
  <w:style w:type="numbering" w:customStyle="1" w:styleId="10">
    <w:name w:val="无列表1"/>
    <w:next w:val="a2"/>
    <w:uiPriority w:val="99"/>
    <w:semiHidden/>
    <w:unhideWhenUsed/>
    <w:rsid w:val="007C2E4E"/>
  </w:style>
  <w:style w:type="character" w:styleId="a3">
    <w:name w:val="Hyperlink"/>
    <w:basedOn w:val="a0"/>
    <w:uiPriority w:val="99"/>
    <w:semiHidden/>
    <w:unhideWhenUsed/>
    <w:rsid w:val="007C2E4E"/>
    <w:rPr>
      <w:strike w:val="0"/>
      <w:dstrike w:val="0"/>
      <w:color w:val="0000FF"/>
      <w:u w:val="none"/>
      <w:effect w:val="none"/>
    </w:rPr>
  </w:style>
  <w:style w:type="character" w:styleId="a4">
    <w:name w:val="FollowedHyperlink"/>
    <w:basedOn w:val="a0"/>
    <w:uiPriority w:val="99"/>
    <w:semiHidden/>
    <w:unhideWhenUsed/>
    <w:rsid w:val="007C2E4E"/>
    <w:rPr>
      <w:strike w:val="0"/>
      <w:dstrike w:val="0"/>
      <w:color w:val="800080"/>
      <w:u w:val="none"/>
      <w:effect w:val="none"/>
    </w:rPr>
  </w:style>
  <w:style w:type="paragraph" w:styleId="a5">
    <w:name w:val="Normal (Web)"/>
    <w:basedOn w:val="a"/>
    <w:uiPriority w:val="99"/>
    <w:semiHidden/>
    <w:unhideWhenUsed/>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7C2E4E"/>
    <w:pPr>
      <w:widowControl/>
      <w:jc w:val="left"/>
    </w:pPr>
    <w:rPr>
      <w:rFonts w:ascii="宋体" w:eastAsia="宋体" w:hAnsi="宋体" w:cs="宋体"/>
      <w:kern w:val="0"/>
      <w:sz w:val="24"/>
      <w:szCs w:val="24"/>
    </w:rPr>
  </w:style>
  <w:style w:type="paragraph" w:customStyle="1" w:styleId="xxgklogo">
    <w:name w:val="xxgk_logo"/>
    <w:basedOn w:val="a"/>
    <w:rsid w:val="007C2E4E"/>
    <w:pPr>
      <w:widowControl/>
      <w:spacing w:before="600" w:after="450"/>
      <w:jc w:val="left"/>
    </w:pPr>
    <w:rPr>
      <w:rFonts w:ascii="宋体" w:eastAsia="宋体" w:hAnsi="宋体" w:cs="宋体"/>
      <w:kern w:val="0"/>
      <w:sz w:val="24"/>
      <w:szCs w:val="24"/>
    </w:rPr>
  </w:style>
  <w:style w:type="paragraph" w:customStyle="1" w:styleId="xxgkjs">
    <w:name w:val="xxgk_js"/>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7C2E4E"/>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7C2E4E"/>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7C2E4E"/>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7C2E4E"/>
    <w:pPr>
      <w:widowControl/>
      <w:jc w:val="left"/>
    </w:pPr>
    <w:rPr>
      <w:rFonts w:ascii="宋体" w:eastAsia="宋体" w:hAnsi="宋体" w:cs="宋体"/>
      <w:kern w:val="0"/>
      <w:sz w:val="24"/>
      <w:szCs w:val="24"/>
    </w:rPr>
  </w:style>
  <w:style w:type="paragraph" w:customStyle="1" w:styleId="xxgkfootnrs">
    <w:name w:val="xxgk_foot_nrs"/>
    <w:basedOn w:val="a"/>
    <w:rsid w:val="007C2E4E"/>
    <w:pPr>
      <w:widowControl/>
      <w:jc w:val="left"/>
    </w:pPr>
    <w:rPr>
      <w:rFonts w:ascii="宋体" w:eastAsia="宋体" w:hAnsi="宋体" w:cs="宋体"/>
      <w:kern w:val="0"/>
      <w:sz w:val="24"/>
      <w:szCs w:val="24"/>
    </w:rPr>
  </w:style>
  <w:style w:type="paragraph" w:customStyle="1" w:styleId="xxgkfootzj">
    <w:name w:val="xxgk_foot_zj"/>
    <w:basedOn w:val="a"/>
    <w:rsid w:val="007C2E4E"/>
    <w:pPr>
      <w:widowControl/>
      <w:spacing w:before="240"/>
      <w:jc w:val="left"/>
    </w:pPr>
    <w:rPr>
      <w:rFonts w:ascii="宋体" w:eastAsia="宋体" w:hAnsi="宋体" w:cs="宋体"/>
      <w:kern w:val="0"/>
      <w:sz w:val="24"/>
      <w:szCs w:val="24"/>
    </w:rPr>
  </w:style>
  <w:style w:type="paragraph" w:customStyle="1" w:styleId="xxgkfootxia">
    <w:name w:val="xxgk_foot_xia"/>
    <w:basedOn w:val="a"/>
    <w:rsid w:val="007C2E4E"/>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7C2E4E"/>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7C2E4E"/>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7C2E4E"/>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7C2E4E"/>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7C2E4E"/>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7C2E4E"/>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7C2E4E"/>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7C2E4E"/>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7C2E4E"/>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7C2E4E"/>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7C2E4E"/>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7C2E4E"/>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7C2E4E"/>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7C2E4E"/>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7C2E4E"/>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7C2E4E"/>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7C2E4E"/>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7C2E4E"/>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7C2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C2E4E"/>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7C2E4E"/>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7C2E4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2E4E"/>
    <w:rPr>
      <w:rFonts w:ascii="宋体" w:eastAsia="宋体" w:hAnsi="宋体" w:cs="宋体"/>
      <w:b/>
      <w:bCs/>
      <w:kern w:val="36"/>
      <w:sz w:val="48"/>
      <w:szCs w:val="48"/>
    </w:rPr>
  </w:style>
  <w:style w:type="character" w:customStyle="1" w:styleId="5Char">
    <w:name w:val="标题 5 Char"/>
    <w:basedOn w:val="a0"/>
    <w:link w:val="5"/>
    <w:uiPriority w:val="9"/>
    <w:rsid w:val="007C2E4E"/>
    <w:rPr>
      <w:rFonts w:ascii="宋体" w:eastAsia="宋体" w:hAnsi="宋体" w:cs="宋体"/>
      <w:b/>
      <w:bCs/>
      <w:kern w:val="0"/>
      <w:sz w:val="20"/>
      <w:szCs w:val="20"/>
    </w:rPr>
  </w:style>
  <w:style w:type="character" w:customStyle="1" w:styleId="6Char">
    <w:name w:val="标题 6 Char"/>
    <w:basedOn w:val="a0"/>
    <w:link w:val="6"/>
    <w:uiPriority w:val="9"/>
    <w:rsid w:val="007C2E4E"/>
    <w:rPr>
      <w:rFonts w:ascii="宋体" w:eastAsia="宋体" w:hAnsi="宋体" w:cs="宋体"/>
      <w:b/>
      <w:bCs/>
      <w:kern w:val="0"/>
      <w:sz w:val="15"/>
      <w:szCs w:val="15"/>
    </w:rPr>
  </w:style>
  <w:style w:type="numbering" w:customStyle="1" w:styleId="10">
    <w:name w:val="无列表1"/>
    <w:next w:val="a2"/>
    <w:uiPriority w:val="99"/>
    <w:semiHidden/>
    <w:unhideWhenUsed/>
    <w:rsid w:val="007C2E4E"/>
  </w:style>
  <w:style w:type="character" w:styleId="a3">
    <w:name w:val="Hyperlink"/>
    <w:basedOn w:val="a0"/>
    <w:uiPriority w:val="99"/>
    <w:semiHidden/>
    <w:unhideWhenUsed/>
    <w:rsid w:val="007C2E4E"/>
    <w:rPr>
      <w:strike w:val="0"/>
      <w:dstrike w:val="0"/>
      <w:color w:val="0000FF"/>
      <w:u w:val="none"/>
      <w:effect w:val="none"/>
    </w:rPr>
  </w:style>
  <w:style w:type="character" w:styleId="a4">
    <w:name w:val="FollowedHyperlink"/>
    <w:basedOn w:val="a0"/>
    <w:uiPriority w:val="99"/>
    <w:semiHidden/>
    <w:unhideWhenUsed/>
    <w:rsid w:val="007C2E4E"/>
    <w:rPr>
      <w:strike w:val="0"/>
      <w:dstrike w:val="0"/>
      <w:color w:val="800080"/>
      <w:u w:val="none"/>
      <w:effect w:val="none"/>
    </w:rPr>
  </w:style>
  <w:style w:type="paragraph" w:styleId="a5">
    <w:name w:val="Normal (Web)"/>
    <w:basedOn w:val="a"/>
    <w:uiPriority w:val="99"/>
    <w:semiHidden/>
    <w:unhideWhenUsed/>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7C2E4E"/>
    <w:pPr>
      <w:widowControl/>
      <w:jc w:val="left"/>
    </w:pPr>
    <w:rPr>
      <w:rFonts w:ascii="宋体" w:eastAsia="宋体" w:hAnsi="宋体" w:cs="宋体"/>
      <w:kern w:val="0"/>
      <w:sz w:val="24"/>
      <w:szCs w:val="24"/>
    </w:rPr>
  </w:style>
  <w:style w:type="paragraph" w:customStyle="1" w:styleId="xxgklogo">
    <w:name w:val="xxgk_logo"/>
    <w:basedOn w:val="a"/>
    <w:rsid w:val="007C2E4E"/>
    <w:pPr>
      <w:widowControl/>
      <w:spacing w:before="600" w:after="450"/>
      <w:jc w:val="left"/>
    </w:pPr>
    <w:rPr>
      <w:rFonts w:ascii="宋体" w:eastAsia="宋体" w:hAnsi="宋体" w:cs="宋体"/>
      <w:kern w:val="0"/>
      <w:sz w:val="24"/>
      <w:szCs w:val="24"/>
    </w:rPr>
  </w:style>
  <w:style w:type="paragraph" w:customStyle="1" w:styleId="xxgkjs">
    <w:name w:val="xxgk_js"/>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7C2E4E"/>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7C2E4E"/>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7C2E4E"/>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7C2E4E"/>
    <w:pPr>
      <w:widowControl/>
      <w:jc w:val="left"/>
    </w:pPr>
    <w:rPr>
      <w:rFonts w:ascii="宋体" w:eastAsia="宋体" w:hAnsi="宋体" w:cs="宋体"/>
      <w:kern w:val="0"/>
      <w:sz w:val="24"/>
      <w:szCs w:val="24"/>
    </w:rPr>
  </w:style>
  <w:style w:type="paragraph" w:customStyle="1" w:styleId="xxgkfootnrs">
    <w:name w:val="xxgk_foot_nrs"/>
    <w:basedOn w:val="a"/>
    <w:rsid w:val="007C2E4E"/>
    <w:pPr>
      <w:widowControl/>
      <w:jc w:val="left"/>
    </w:pPr>
    <w:rPr>
      <w:rFonts w:ascii="宋体" w:eastAsia="宋体" w:hAnsi="宋体" w:cs="宋体"/>
      <w:kern w:val="0"/>
      <w:sz w:val="24"/>
      <w:szCs w:val="24"/>
    </w:rPr>
  </w:style>
  <w:style w:type="paragraph" w:customStyle="1" w:styleId="xxgkfootzj">
    <w:name w:val="xxgk_foot_zj"/>
    <w:basedOn w:val="a"/>
    <w:rsid w:val="007C2E4E"/>
    <w:pPr>
      <w:widowControl/>
      <w:spacing w:before="240"/>
      <w:jc w:val="left"/>
    </w:pPr>
    <w:rPr>
      <w:rFonts w:ascii="宋体" w:eastAsia="宋体" w:hAnsi="宋体" w:cs="宋体"/>
      <w:kern w:val="0"/>
      <w:sz w:val="24"/>
      <w:szCs w:val="24"/>
    </w:rPr>
  </w:style>
  <w:style w:type="paragraph" w:customStyle="1" w:styleId="xxgkfootxia">
    <w:name w:val="xxgk_foot_xia"/>
    <w:basedOn w:val="a"/>
    <w:rsid w:val="007C2E4E"/>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7C2E4E"/>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7C2E4E"/>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7C2E4E"/>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7C2E4E"/>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7C2E4E"/>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7C2E4E"/>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7C2E4E"/>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7C2E4E"/>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7C2E4E"/>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7C2E4E"/>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7C2E4E"/>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7C2E4E"/>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7C2E4E"/>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7C2E4E"/>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7C2E4E"/>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7C2E4E"/>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7C2E4E"/>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7C2E4E"/>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7C2E4E"/>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7C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0605">
      <w:bodyDiv w:val="1"/>
      <w:marLeft w:val="0"/>
      <w:marRight w:val="0"/>
      <w:marTop w:val="0"/>
      <w:marBottom w:val="0"/>
      <w:divBdr>
        <w:top w:val="none" w:sz="0" w:space="0" w:color="auto"/>
        <w:left w:val="none" w:sz="0" w:space="0" w:color="auto"/>
        <w:bottom w:val="none" w:sz="0" w:space="0" w:color="auto"/>
        <w:right w:val="none" w:sz="0" w:space="0" w:color="auto"/>
      </w:divBdr>
      <w:divsChild>
        <w:div w:id="1384134015">
          <w:marLeft w:val="0"/>
          <w:marRight w:val="0"/>
          <w:marTop w:val="0"/>
          <w:marBottom w:val="0"/>
          <w:divBdr>
            <w:top w:val="none" w:sz="0" w:space="0" w:color="auto"/>
            <w:left w:val="none" w:sz="0" w:space="0" w:color="auto"/>
            <w:bottom w:val="none" w:sz="0" w:space="0" w:color="auto"/>
            <w:right w:val="none" w:sz="0" w:space="0" w:color="auto"/>
          </w:divBdr>
          <w:divsChild>
            <w:div w:id="1271354032">
              <w:marLeft w:val="0"/>
              <w:marRight w:val="0"/>
              <w:marTop w:val="0"/>
              <w:marBottom w:val="0"/>
              <w:divBdr>
                <w:top w:val="single" w:sz="6" w:space="31" w:color="BCBCBC"/>
                <w:left w:val="single" w:sz="6" w:space="31" w:color="BCBCBC"/>
                <w:bottom w:val="single" w:sz="6" w:space="15" w:color="BCBCBC"/>
                <w:right w:val="single" w:sz="6" w:space="31" w:color="BCBCBC"/>
              </w:divBdr>
              <w:divsChild>
                <w:div w:id="984435926">
                  <w:marLeft w:val="0"/>
                  <w:marRight w:val="0"/>
                  <w:marTop w:val="0"/>
                  <w:marBottom w:val="0"/>
                  <w:divBdr>
                    <w:top w:val="none" w:sz="0" w:space="0" w:color="auto"/>
                    <w:left w:val="none" w:sz="0" w:space="0" w:color="auto"/>
                    <w:bottom w:val="none" w:sz="0" w:space="0" w:color="auto"/>
                    <w:right w:val="none" w:sz="0" w:space="0" w:color="auto"/>
                  </w:divBdr>
                  <w:divsChild>
                    <w:div w:id="1097753556">
                      <w:marLeft w:val="0"/>
                      <w:marRight w:val="0"/>
                      <w:marTop w:val="0"/>
                      <w:marBottom w:val="0"/>
                      <w:divBdr>
                        <w:top w:val="none" w:sz="0" w:space="0" w:color="auto"/>
                        <w:left w:val="none" w:sz="0" w:space="0" w:color="auto"/>
                        <w:bottom w:val="none" w:sz="0" w:space="0" w:color="auto"/>
                        <w:right w:val="none" w:sz="0" w:space="0" w:color="auto"/>
                      </w:divBdr>
                    </w:div>
                    <w:div w:id="14975701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2016-12-16T03:05:00Z</dcterms:created>
  <dcterms:modified xsi:type="dcterms:W3CDTF">2016-12-16T03:05:00Z</dcterms:modified>
</cp:coreProperties>
</file>